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DB" w:rsidRPr="006D70DB" w:rsidRDefault="006D70DB" w:rsidP="006D70DB">
      <w:pPr>
        <w:spacing w:after="0" w:line="240" w:lineRule="auto"/>
        <w:ind w:left="4395"/>
        <w:jc w:val="both"/>
        <w:rPr>
          <w:rFonts w:ascii="Times New Roman" w:eastAsia="Calibri" w:hAnsi="Times New Roman" w:cs="Times New Roman"/>
          <w:sz w:val="24"/>
          <w:szCs w:val="24"/>
        </w:rPr>
      </w:pPr>
      <w:bookmarkStart w:id="0" w:name="_GoBack"/>
      <w:bookmarkEnd w:id="0"/>
      <w:r w:rsidRPr="006D70DB">
        <w:rPr>
          <w:rFonts w:ascii="Times New Roman" w:hAnsi="Times New Roman" w:cs="Times New Roman"/>
          <w:color w:val="000000"/>
          <w:sz w:val="24"/>
          <w:szCs w:val="24"/>
          <w:lang w:eastAsia="lt-LT"/>
        </w:rPr>
        <w:t>Vietos projektų, teikiamų pagal Švenčionių rajono vietos veiklos grupės Švenčionių partnerystė“ teritorijos 201</w:t>
      </w:r>
      <w:r w:rsidR="00DC5ED1">
        <w:rPr>
          <w:rFonts w:ascii="Times New Roman" w:hAnsi="Times New Roman" w:cs="Times New Roman"/>
          <w:color w:val="000000"/>
          <w:sz w:val="24"/>
          <w:szCs w:val="24"/>
          <w:lang w:eastAsia="lt-LT"/>
        </w:rPr>
        <w:t>5</w:t>
      </w:r>
      <w:r w:rsidRPr="006D70DB">
        <w:rPr>
          <w:rFonts w:ascii="Times New Roman" w:hAnsi="Times New Roman" w:cs="Times New Roman"/>
          <w:color w:val="000000"/>
          <w:sz w:val="24"/>
          <w:szCs w:val="24"/>
          <w:lang w:eastAsia="lt-LT"/>
        </w:rPr>
        <w:t xml:space="preserve">-2023 m. vietos plėtros strategijos priemonės </w:t>
      </w:r>
      <w:r w:rsidRPr="006D70DB">
        <w:rPr>
          <w:rFonts w:ascii="Times New Roman" w:eastAsia="Calibri" w:hAnsi="Times New Roman" w:cs="Times New Roman"/>
          <w:sz w:val="24"/>
          <w:szCs w:val="24"/>
        </w:rPr>
        <w:t>„Pagrindinės paslaugos ir kaimų atnaujinimas kaimo vietovėse“ veiklos sritį „Parama investicijoms į visų rūšių mažos apimties infrastruktūrą (reglamentuoja KPP)“ finansavimo sąlygų aprašo</w:t>
      </w:r>
    </w:p>
    <w:p w:rsidR="00F16A4C" w:rsidRPr="00F16A4C" w:rsidRDefault="002C17B2" w:rsidP="00F16A4C">
      <w:pPr>
        <w:spacing w:after="0" w:line="240" w:lineRule="auto"/>
        <w:ind w:left="4395"/>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w:t>
      </w:r>
      <w:r w:rsidRPr="00F16A4C">
        <w:rPr>
          <w:rFonts w:ascii="Times New Roman" w:hAnsi="Times New Roman" w:cs="Times New Roman"/>
          <w:color w:val="000000"/>
          <w:sz w:val="24"/>
          <w:szCs w:val="24"/>
          <w:lang w:eastAsia="lt-LT"/>
        </w:rPr>
        <w:t xml:space="preserve"> </w:t>
      </w:r>
      <w:r w:rsidR="00F16A4C" w:rsidRPr="00F16A4C">
        <w:rPr>
          <w:rFonts w:ascii="Times New Roman" w:hAnsi="Times New Roman" w:cs="Times New Roman"/>
          <w:color w:val="000000"/>
          <w:sz w:val="24"/>
          <w:szCs w:val="24"/>
          <w:lang w:eastAsia="lt-LT"/>
        </w:rPr>
        <w:t>prieda</w:t>
      </w:r>
      <w:r w:rsidR="00E504A2">
        <w:rPr>
          <w:rFonts w:ascii="Times New Roman" w:hAnsi="Times New Roman" w:cs="Times New Roman"/>
          <w:color w:val="000000"/>
          <w:sz w:val="24"/>
          <w:szCs w:val="24"/>
          <w:lang w:eastAsia="lt-LT"/>
        </w:rPr>
        <w:t>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961E98"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961E98"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961E98"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961E98"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961E98"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961E98"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961E98"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961E98"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961E98"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 xml:space="preserve">de </w:t>
            </w:r>
            <w:proofErr w:type="spellStart"/>
            <w:r w:rsidRPr="00F16A4C">
              <w:rPr>
                <w:rFonts w:ascii="Times New Roman" w:eastAsia="Times New Roman" w:hAnsi="Times New Roman" w:cs="Times New Roman"/>
                <w:i/>
                <w:iCs/>
                <w:lang w:eastAsia="lt-LT"/>
              </w:rPr>
              <w:t>minimis</w:t>
            </w:r>
            <w:proofErr w:type="spellEnd"/>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961E98"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 xml:space="preserve">de </w:t>
            </w:r>
            <w:proofErr w:type="spellStart"/>
            <w:r w:rsidRPr="00F16A4C">
              <w:rPr>
                <w:rFonts w:ascii="Times New Roman" w:eastAsia="Times New Roman" w:hAnsi="Times New Roman" w:cs="Times New Roman"/>
                <w:b/>
                <w:bCs/>
                <w:i/>
                <w:color w:val="000000"/>
                <w:sz w:val="24"/>
                <w:szCs w:val="24"/>
                <w:lang w:eastAsia="lt-LT"/>
              </w:rPr>
              <w:t>minimis</w:t>
            </w:r>
            <w:proofErr w:type="spellEnd"/>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 xml:space="preserve">de </w:t>
            </w:r>
            <w:proofErr w:type="spellStart"/>
            <w:r w:rsidRPr="00F16A4C">
              <w:rPr>
                <w:rFonts w:ascii="Times New Roman" w:eastAsia="Times New Roman" w:hAnsi="Times New Roman" w:cs="Times New Roman"/>
                <w:b/>
                <w:bCs/>
                <w:i/>
                <w:sz w:val="24"/>
                <w:szCs w:val="24"/>
                <w:lang w:eastAsia="lt-LT"/>
              </w:rPr>
              <w:t>minimis</w:t>
            </w:r>
            <w:proofErr w:type="spellEnd"/>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E98" w:rsidRDefault="00961E98">
      <w:pPr>
        <w:spacing w:after="0" w:line="240" w:lineRule="auto"/>
      </w:pPr>
      <w:r>
        <w:separator/>
      </w:r>
    </w:p>
  </w:endnote>
  <w:endnote w:type="continuationSeparator" w:id="0">
    <w:p w:rsidR="00961E98" w:rsidRDefault="0096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E98" w:rsidRDefault="00961E98">
      <w:pPr>
        <w:spacing w:after="0" w:line="240" w:lineRule="auto"/>
      </w:pPr>
      <w:r>
        <w:separator/>
      </w:r>
    </w:p>
  </w:footnote>
  <w:footnote w:type="continuationSeparator" w:id="0">
    <w:p w:rsidR="00961E98" w:rsidRDefault="0096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C17B2">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961E98"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961E98">
    <w:pPr>
      <w:pStyle w:val="Antrats"/>
      <w:jc w:val="center"/>
      <w:rPr>
        <w:rFonts w:ascii="Times New Roman" w:hAnsi="Times New Roman" w:cs="Times New Roman"/>
      </w:rPr>
    </w:pPr>
  </w:p>
  <w:p w:rsidR="00EC0DF4" w:rsidRDefault="00961E9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101F5F"/>
    <w:rsid w:val="002C17B2"/>
    <w:rsid w:val="002E07B7"/>
    <w:rsid w:val="003477E0"/>
    <w:rsid w:val="00433126"/>
    <w:rsid w:val="005C1D57"/>
    <w:rsid w:val="006D70DB"/>
    <w:rsid w:val="008517EA"/>
    <w:rsid w:val="008623EB"/>
    <w:rsid w:val="00875B85"/>
    <w:rsid w:val="008A65E9"/>
    <w:rsid w:val="0093111A"/>
    <w:rsid w:val="00943B11"/>
    <w:rsid w:val="00961E98"/>
    <w:rsid w:val="00971907"/>
    <w:rsid w:val="00D0194A"/>
    <w:rsid w:val="00DC5ED1"/>
    <w:rsid w:val="00E37D5E"/>
    <w:rsid w:val="00E504A2"/>
    <w:rsid w:val="00E67937"/>
    <w:rsid w:val="00EE15B5"/>
    <w:rsid w:val="00F15F34"/>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14223</Words>
  <Characters>8108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2</cp:revision>
  <dcterms:created xsi:type="dcterms:W3CDTF">2022-03-30T06:40:00Z</dcterms:created>
  <dcterms:modified xsi:type="dcterms:W3CDTF">2022-03-30T06:40:00Z</dcterms:modified>
</cp:coreProperties>
</file>