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1C83" w:rsidRPr="00A31C83" w:rsidRDefault="00A31C83" w:rsidP="00A31C83">
      <w:pPr>
        <w:shd w:val="clear" w:color="auto" w:fill="FFFFFF"/>
        <w:spacing w:after="0" w:line="240" w:lineRule="auto"/>
        <w:rPr>
          <w:rFonts w:ascii="Arial" w:eastAsia="Times New Roman" w:hAnsi="Arial" w:cs="Arial"/>
          <w:color w:val="646055"/>
          <w:sz w:val="18"/>
          <w:szCs w:val="18"/>
          <w:lang w:eastAsia="lt-LT"/>
        </w:rPr>
      </w:pPr>
      <w:r w:rsidRPr="00A31C83">
        <w:rPr>
          <w:rFonts w:ascii="Arial" w:eastAsia="Times New Roman" w:hAnsi="Arial" w:cs="Arial"/>
          <w:color w:val="646055"/>
          <w:sz w:val="18"/>
          <w:szCs w:val="18"/>
          <w:lang w:eastAsia="lt-LT"/>
        </w:rPr>
        <w:t>2020.05.18</w:t>
      </w:r>
    </w:p>
    <w:p w:rsidR="00A31C83" w:rsidRPr="00A31C83" w:rsidRDefault="00A31C83" w:rsidP="00A31C83">
      <w:pPr>
        <w:shd w:val="clear" w:color="auto" w:fill="FFFFFF"/>
        <w:spacing w:after="0" w:line="420" w:lineRule="atLeast"/>
        <w:rPr>
          <w:rFonts w:ascii="Georgia" w:eastAsia="Times New Roman" w:hAnsi="Georgia" w:cs="Arial"/>
          <w:b/>
          <w:bCs/>
          <w:color w:val="FFFFFF"/>
          <w:sz w:val="17"/>
          <w:szCs w:val="17"/>
          <w:lang w:eastAsia="lt-LT"/>
        </w:rPr>
      </w:pPr>
      <w:r w:rsidRPr="00A31C83">
        <w:rPr>
          <w:rFonts w:ascii="Georgia" w:eastAsia="Times New Roman" w:hAnsi="Georgia" w:cs="Arial"/>
          <w:b/>
          <w:bCs/>
          <w:color w:val="FFFFFF"/>
          <w:sz w:val="17"/>
          <w:szCs w:val="17"/>
          <w:lang w:eastAsia="lt-LT"/>
        </w:rPr>
        <w:t>Spausdinti</w:t>
      </w:r>
    </w:p>
    <w:p w:rsidR="00A31C83" w:rsidRPr="00A31C83" w:rsidRDefault="00A31C83" w:rsidP="00A31C83">
      <w:pPr>
        <w:shd w:val="clear" w:color="auto" w:fill="FFFFFF"/>
        <w:spacing w:after="270" w:line="240" w:lineRule="auto"/>
        <w:outlineLvl w:val="1"/>
        <w:rPr>
          <w:rFonts w:ascii="Georgia" w:eastAsia="Times New Roman" w:hAnsi="Georgia" w:cs="Times New Roman"/>
          <w:b/>
          <w:bCs/>
          <w:color w:val="514D43"/>
          <w:sz w:val="42"/>
          <w:szCs w:val="42"/>
          <w:lang w:eastAsia="lt-LT"/>
        </w:rPr>
      </w:pPr>
      <w:r w:rsidRPr="00A31C83">
        <w:rPr>
          <w:rFonts w:ascii="Georgia" w:eastAsia="Times New Roman" w:hAnsi="Georgia" w:cs="Times New Roman"/>
          <w:b/>
          <w:bCs/>
          <w:color w:val="514D43"/>
          <w:sz w:val="42"/>
          <w:szCs w:val="42"/>
          <w:lang w:eastAsia="lt-LT"/>
        </w:rPr>
        <w:t>Paraiškos verslo pradžiai jau renkamos – skirta 25 mln. Eur paramos lėšų</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b/>
          <w:bCs/>
          <w:color w:val="767676"/>
          <w:sz w:val="18"/>
          <w:szCs w:val="18"/>
          <w:lang w:eastAsia="lt-LT"/>
        </w:rPr>
        <w:t>Nuo gegužės 18 d. iki birželio 15 d. Nacionalinėje mokėjimo agentūroje (NMA) renkamos paraiškos iš norinčių pradėti verslą kaimo vietovėse. Akcentuotina, kad prieš prasidedant šiam paraiškų surinkimo etapui kvietimui skirta paramos lėšų suma padidinta beveik 20 mln. Eur, taip pat pakeistos Lietuvos kaimo plėtros 2014–2020 metų programos (KPP) priemonės „Ūkio ir verslo plėtra“ veiklos srities „Parama ekonominės veiklos pradžiai kaimo vietovėse“, kai verslo planui įgyvendinti yra mokama išmoka, įgyvendinimo taisyklės – kviečiame susipažinti su svarbiausiais taisyklių keitimais.</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color w:val="767676"/>
          <w:sz w:val="18"/>
          <w:szCs w:val="18"/>
          <w:lang w:eastAsia="lt-LT"/>
        </w:rPr>
        <w:t> </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b/>
          <w:bCs/>
          <w:color w:val="767676"/>
          <w:sz w:val="18"/>
          <w:szCs w:val="18"/>
          <w:lang w:eastAsia="lt-LT"/>
        </w:rPr>
        <w:t>Svarbu – pakeitus priemonės įgyvendinimo taisykles, keitėsi paramos paraiškos forma.</w:t>
      </w:r>
      <w:r w:rsidRPr="00A31C83">
        <w:rPr>
          <w:rFonts w:ascii="inherit" w:eastAsia="Times New Roman" w:hAnsi="inherit" w:cs="Arial"/>
          <w:color w:val="767676"/>
          <w:sz w:val="18"/>
          <w:szCs w:val="18"/>
          <w:lang w:eastAsia="lt-LT"/>
        </w:rPr>
        <w:t> </w:t>
      </w:r>
      <w:r w:rsidRPr="00A31C83">
        <w:rPr>
          <w:rFonts w:ascii="inherit" w:eastAsia="Times New Roman" w:hAnsi="inherit" w:cs="Arial"/>
          <w:color w:val="767676"/>
          <w:sz w:val="18"/>
          <w:szCs w:val="18"/>
          <w:lang w:eastAsia="lt-LT"/>
        </w:rPr>
        <w:t xml:space="preserve"> </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color w:val="767676"/>
          <w:sz w:val="18"/>
          <w:szCs w:val="18"/>
          <w:lang w:eastAsia="lt-LT"/>
        </w:rPr>
        <w:t> </w:t>
      </w:r>
      <w:bookmarkStart w:id="0" w:name="_GoBack"/>
      <w:bookmarkEnd w:id="0"/>
      <w:r w:rsidRPr="00A31C83">
        <w:rPr>
          <w:rFonts w:ascii="inherit" w:eastAsia="Times New Roman" w:hAnsi="inherit" w:cs="Arial"/>
          <w:b/>
          <w:bCs/>
          <w:color w:val="767676"/>
          <w:sz w:val="18"/>
          <w:szCs w:val="18"/>
          <w:lang w:eastAsia="lt-LT"/>
        </w:rPr>
        <w:t>Skirta paramos suma – 25 mln. Eur</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color w:val="767676"/>
          <w:sz w:val="18"/>
          <w:szCs w:val="18"/>
          <w:lang w:eastAsia="lt-LT"/>
        </w:rPr>
        <w:t> Praeitą savaitę Žemės ūkio ministerijai (ŽŪM) skyrus papildomų lėšų KPP priemonės „Ūkio ir verslo plėtra“ veiklos sričiai „Parama ekonominės veiklos pradžiai kaimo vietovėse“, šiam paraiškų surinkimo etapui skirta paramos lėšų suma sudaro nebe 7,2 mln. Eur, o </w:t>
      </w:r>
      <w:r w:rsidRPr="00A31C83">
        <w:rPr>
          <w:rFonts w:ascii="inherit" w:eastAsia="Times New Roman" w:hAnsi="inherit" w:cs="Arial"/>
          <w:b/>
          <w:bCs/>
          <w:color w:val="767676"/>
          <w:sz w:val="18"/>
          <w:szCs w:val="18"/>
          <w:lang w:eastAsia="lt-LT"/>
        </w:rPr>
        <w:t>25 mln. Eur</w:t>
      </w:r>
      <w:r w:rsidRPr="00A31C83">
        <w:rPr>
          <w:rFonts w:ascii="inherit" w:eastAsia="Times New Roman" w:hAnsi="inherit" w:cs="Arial"/>
          <w:color w:val="767676"/>
          <w:sz w:val="18"/>
          <w:szCs w:val="18"/>
          <w:lang w:eastAsia="lt-LT"/>
        </w:rPr>
        <w:t>.</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color w:val="767676"/>
          <w:sz w:val="18"/>
          <w:szCs w:val="18"/>
          <w:lang w:eastAsia="lt-LT"/>
        </w:rPr>
        <w:t> Sprendimas priimtas atsižvelgus į šalyje dėl COVID-19 viruso plitimo susidariusią situaciją, dėl kurios išaugo darbo neturinčių asmenų skaičius – parama verslui pradėti būtų paspirtis naujai pradedantiems verslą kaimo vietovėse. „Šiuo metu ypač aktualu mažinti socialinę įtampą dėl padidėjusio nedarbo kaimo vietovėse, tai taip pat ir paskata kurtis mažiems verslams, kurie būtų labiau pasiskirstę teritoriniu atžvilgiu, būtų sukuriamos įvairios paslaugos, labiau prieinamos žmonėms, nutolusiems nuo didžiųjų šalies miestų.“ – skelbiama ŽUM </w:t>
      </w:r>
      <w:hyperlink r:id="rId4" w:history="1">
        <w:r w:rsidRPr="00A31C83">
          <w:rPr>
            <w:rFonts w:ascii="inherit" w:eastAsia="Times New Roman" w:hAnsi="inherit" w:cs="Arial"/>
            <w:color w:val="009650"/>
            <w:sz w:val="18"/>
            <w:szCs w:val="18"/>
            <w:u w:val="single"/>
            <w:lang w:eastAsia="lt-LT"/>
          </w:rPr>
          <w:t>svetainėje</w:t>
        </w:r>
      </w:hyperlink>
      <w:r w:rsidRPr="00A31C83">
        <w:rPr>
          <w:rFonts w:ascii="inherit" w:eastAsia="Times New Roman" w:hAnsi="inherit" w:cs="Arial"/>
          <w:color w:val="767676"/>
          <w:sz w:val="18"/>
          <w:szCs w:val="18"/>
          <w:lang w:eastAsia="lt-LT"/>
        </w:rPr>
        <w:t>.</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color w:val="767676"/>
          <w:sz w:val="18"/>
          <w:szCs w:val="18"/>
          <w:lang w:eastAsia="lt-LT"/>
        </w:rPr>
        <w:t> </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b/>
          <w:bCs/>
          <w:color w:val="767676"/>
          <w:sz w:val="18"/>
          <w:szCs w:val="18"/>
          <w:lang w:eastAsia="lt-LT"/>
        </w:rPr>
        <w:t>Įgyvendinimo taisyklių pakeitimai – nuo gegužės 14 d.</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color w:val="767676"/>
          <w:sz w:val="18"/>
          <w:szCs w:val="18"/>
          <w:lang w:eastAsia="lt-LT"/>
        </w:rPr>
        <w:t> Gegužės 14 d. buvo pakeistos ir priemonės įgyvendinimo taisyklės. Jose yra itin svarbių pakeitimų: nauja paramos suma pareiškėjams, planuojantiems sukurti 2 ir daugiau darbo vietų, taip pat nauja paramos mokėjimo tvarka. Be minėtų pakeitimų taisyklėse pakoreguoti reikalavimai pareiškėjams, taip pat pareiškėjo įsipareigojimai gavus paramą.</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color w:val="767676"/>
          <w:sz w:val="18"/>
          <w:szCs w:val="18"/>
          <w:lang w:eastAsia="lt-LT"/>
        </w:rPr>
        <w:t> </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b/>
          <w:bCs/>
          <w:i/>
          <w:iCs/>
          <w:color w:val="767676"/>
          <w:sz w:val="18"/>
          <w:szCs w:val="18"/>
          <w:lang w:eastAsia="lt-LT"/>
        </w:rPr>
        <w:t>Išmoka – 18 800 Eur arba 37 600 Eur</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color w:val="767676"/>
          <w:sz w:val="18"/>
          <w:szCs w:val="18"/>
          <w:lang w:eastAsia="lt-LT"/>
        </w:rPr>
        <w:t> Šiemet paraiškas teikiantys būsimieji verslininkai gali tikėtis didesnės išmokos – ji gali siekti </w:t>
      </w:r>
      <w:r w:rsidRPr="00A31C83">
        <w:rPr>
          <w:rFonts w:ascii="inherit" w:eastAsia="Times New Roman" w:hAnsi="inherit" w:cs="Arial"/>
          <w:b/>
          <w:bCs/>
          <w:color w:val="767676"/>
          <w:sz w:val="18"/>
          <w:szCs w:val="18"/>
          <w:lang w:eastAsia="lt-LT"/>
        </w:rPr>
        <w:t>37 600 Eur</w:t>
      </w:r>
      <w:r w:rsidRPr="00A31C83">
        <w:rPr>
          <w:rFonts w:ascii="inherit" w:eastAsia="Times New Roman" w:hAnsi="inherit" w:cs="Arial"/>
          <w:color w:val="767676"/>
          <w:sz w:val="18"/>
          <w:szCs w:val="18"/>
          <w:lang w:eastAsia="lt-LT"/>
        </w:rPr>
        <w:t>, jei pareiškėjas numato sukurti ne mažiau kaip 2 darbo vietas (etatus), susijusias su projekte numatyta įgyvendinti ne žemės ūkio veikla, kuriai prašoma paramos. Sukūrus vieną darbo vietą (etatą) bus mokama </w:t>
      </w:r>
      <w:r w:rsidRPr="00A31C83">
        <w:rPr>
          <w:rFonts w:ascii="inherit" w:eastAsia="Times New Roman" w:hAnsi="inherit" w:cs="Arial"/>
          <w:b/>
          <w:bCs/>
          <w:color w:val="767676"/>
          <w:sz w:val="18"/>
          <w:szCs w:val="18"/>
          <w:lang w:eastAsia="lt-LT"/>
        </w:rPr>
        <w:t>18 800 Eur </w:t>
      </w:r>
      <w:r w:rsidRPr="00A31C83">
        <w:rPr>
          <w:rFonts w:ascii="inherit" w:eastAsia="Times New Roman" w:hAnsi="inherit" w:cs="Arial"/>
          <w:color w:val="767676"/>
          <w:sz w:val="18"/>
          <w:szCs w:val="18"/>
          <w:lang w:eastAsia="lt-LT"/>
        </w:rPr>
        <w:t>siekianti išmoka. Primintina, jog sukurtą darbo vietą ar vietas privaloma išlaikyti iki projekto kontrolės laikotarpio pabaigos.</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color w:val="767676"/>
          <w:sz w:val="18"/>
          <w:szCs w:val="18"/>
          <w:lang w:eastAsia="lt-LT"/>
        </w:rPr>
        <w:t> Atkreiptinas dėmesys, jog daugiau kaip 2 mėnesius per projekto kontrolės laikotarpį neišlaikius darbo vietos (etato), gali būti taikoma sankcija, kurios dydis, pakoregavus įgyvendinimo taisykles, buvo pakeistas – 520 Eur už vieną neišlaikytą darbo vietą (etatą).</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color w:val="767676"/>
          <w:sz w:val="18"/>
          <w:szCs w:val="18"/>
          <w:lang w:eastAsia="lt-LT"/>
        </w:rPr>
        <w:t> </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b/>
          <w:bCs/>
          <w:i/>
          <w:iCs/>
          <w:color w:val="767676"/>
          <w:sz w:val="18"/>
          <w:szCs w:val="18"/>
          <w:lang w:eastAsia="lt-LT"/>
        </w:rPr>
        <w:t>Išmokos dalys – 80 proc. ir 20 proc.</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color w:val="767676"/>
          <w:sz w:val="18"/>
          <w:szCs w:val="18"/>
          <w:lang w:eastAsia="lt-LT"/>
        </w:rPr>
        <w:t> Išmoka, siekianti 18 800 arba 37 600 Eur, bus išmokama 100 proc. dviem dalimis, sudarančiomis nebe 50 proc. ir 50 proc., o </w:t>
      </w:r>
      <w:r w:rsidRPr="00A31C83">
        <w:rPr>
          <w:rFonts w:ascii="inherit" w:eastAsia="Times New Roman" w:hAnsi="inherit" w:cs="Arial"/>
          <w:b/>
          <w:bCs/>
          <w:color w:val="767676"/>
          <w:sz w:val="18"/>
          <w:szCs w:val="18"/>
          <w:lang w:eastAsia="lt-LT"/>
        </w:rPr>
        <w:t>80 proc. ir 20 proc.</w:t>
      </w:r>
      <w:r w:rsidRPr="00A31C83">
        <w:rPr>
          <w:rFonts w:ascii="inherit" w:eastAsia="Times New Roman" w:hAnsi="inherit" w:cs="Arial"/>
          <w:color w:val="767676"/>
          <w:sz w:val="18"/>
          <w:szCs w:val="18"/>
          <w:lang w:eastAsia="lt-LT"/>
        </w:rPr>
        <w:t> Pirmoji išmokos dalis (80 proc.), kaip ir anksčiau, bus išmokėta per 10 darbo dienų po sprendimo skirti paramą priėmimo dienos</w:t>
      </w:r>
      <w:r w:rsidRPr="00A31C83">
        <w:rPr>
          <w:rFonts w:ascii="inherit" w:eastAsia="Times New Roman" w:hAnsi="inherit" w:cs="Arial"/>
          <w:b/>
          <w:bCs/>
          <w:color w:val="767676"/>
          <w:sz w:val="18"/>
          <w:szCs w:val="18"/>
          <w:lang w:eastAsia="lt-LT"/>
        </w:rPr>
        <w:t>, kita dalis (20 proc.) – tinkamai įgyvendinus verslo planą ir pateikus NMA mokėjimo prašymą. </w:t>
      </w:r>
      <w:r w:rsidRPr="00A31C83">
        <w:rPr>
          <w:rFonts w:ascii="inherit" w:eastAsia="Times New Roman" w:hAnsi="inherit" w:cs="Arial"/>
          <w:color w:val="767676"/>
          <w:sz w:val="18"/>
          <w:szCs w:val="18"/>
          <w:lang w:eastAsia="lt-LT"/>
        </w:rPr>
        <w:t>Paskutinis mokėjimo prašymas NMA turi būti pateiktas ne vėliau kaip pirmaisiais metais po verslo plano įgyvendinimo metų ir ne vėliau kaip iki 2023 m. birželio 30 d. Išmoka paramos gavėjui bus išmokėta per ne ilgesnį kaip 3 metų laikotarpį nuo verslo plano įgyvendinimo pradžios. Primintina, jog verslo planas privalo būti </w:t>
      </w:r>
      <w:r w:rsidRPr="00A31C83">
        <w:rPr>
          <w:rFonts w:ascii="inherit" w:eastAsia="Times New Roman" w:hAnsi="inherit" w:cs="Arial"/>
          <w:b/>
          <w:bCs/>
          <w:color w:val="767676"/>
          <w:sz w:val="18"/>
          <w:szCs w:val="18"/>
          <w:lang w:eastAsia="lt-LT"/>
        </w:rPr>
        <w:t>tinkamai įgyvendintas, priešingu atveju</w:t>
      </w:r>
      <w:r w:rsidRPr="00A31C83">
        <w:rPr>
          <w:rFonts w:ascii="inherit" w:eastAsia="Times New Roman" w:hAnsi="inherit" w:cs="Arial"/>
          <w:color w:val="767676"/>
          <w:sz w:val="18"/>
          <w:szCs w:val="18"/>
          <w:lang w:eastAsia="lt-LT"/>
        </w:rPr>
        <w:t>, likusi išmokos dalis nebus mokama, o jeigu išmokos dalis jau išmokėta, ji bus susigrąžinta.</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color w:val="767676"/>
          <w:sz w:val="18"/>
          <w:szCs w:val="18"/>
          <w:lang w:eastAsia="lt-LT"/>
        </w:rPr>
        <w:lastRenderedPageBreak/>
        <w:t> </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b/>
          <w:bCs/>
          <w:i/>
          <w:iCs/>
          <w:color w:val="767676"/>
          <w:sz w:val="18"/>
          <w:szCs w:val="18"/>
          <w:lang w:eastAsia="lt-LT"/>
        </w:rPr>
        <w:t>Kam skiriama parama</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color w:val="767676"/>
          <w:sz w:val="18"/>
          <w:szCs w:val="18"/>
          <w:lang w:eastAsia="lt-LT"/>
        </w:rPr>
        <w:t> Parama, kaip ir anksčiau, galės būti skiriama fiziniams bei naujai įsteigtiems privatiems juridiniams asmenims. Tačiau pakeistose įgyvendinimo taisyklėse numatyta, jog fiziniai asmenys privalo būti nevykdę jokios ne žemės ūkio ekonominės veiklos </w:t>
      </w:r>
      <w:r w:rsidRPr="00A31C83">
        <w:rPr>
          <w:rFonts w:ascii="inherit" w:eastAsia="Times New Roman" w:hAnsi="inherit" w:cs="Arial"/>
          <w:b/>
          <w:bCs/>
          <w:color w:val="767676"/>
          <w:sz w:val="18"/>
          <w:szCs w:val="18"/>
          <w:lang w:eastAsia="lt-LT"/>
        </w:rPr>
        <w:t>nuo 2018 m. gegužės 18 d. iki 2019 m. gegužės 18 d.</w:t>
      </w:r>
      <w:r w:rsidRPr="00A31C83">
        <w:rPr>
          <w:rFonts w:ascii="inherit" w:eastAsia="Times New Roman" w:hAnsi="inherit" w:cs="Arial"/>
          <w:color w:val="767676"/>
          <w:sz w:val="18"/>
          <w:szCs w:val="18"/>
          <w:lang w:eastAsia="lt-LT"/>
        </w:rPr>
        <w:t> (iki šiol buvo nuo 2018 m. lapkričio 18 d. iki 2019 m. lapkričio 18 d.) arba per nurodytą laikotarpį vykdę ją mažiau kaip 30 kalendorinių dienų, neatsižvelgiant į tai, ar buvo gauta pajamų, ar ne.</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color w:val="767676"/>
          <w:sz w:val="18"/>
          <w:szCs w:val="18"/>
          <w:lang w:eastAsia="lt-LT"/>
        </w:rPr>
        <w:t> </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color w:val="767676"/>
          <w:sz w:val="18"/>
          <w:szCs w:val="18"/>
          <w:lang w:eastAsia="lt-LT"/>
        </w:rPr>
        <w:t>Privatūs juridiniai asmenys turi būti registruoti ne anksčiau kaip prieš </w:t>
      </w:r>
      <w:r w:rsidRPr="00A31C83">
        <w:rPr>
          <w:rFonts w:ascii="inherit" w:eastAsia="Times New Roman" w:hAnsi="inherit" w:cs="Arial"/>
          <w:b/>
          <w:bCs/>
          <w:color w:val="767676"/>
          <w:sz w:val="18"/>
          <w:szCs w:val="18"/>
          <w:lang w:eastAsia="lt-LT"/>
        </w:rPr>
        <w:t>12 mėn.</w:t>
      </w:r>
      <w:r w:rsidRPr="00A31C83">
        <w:rPr>
          <w:rFonts w:ascii="inherit" w:eastAsia="Times New Roman" w:hAnsi="inherit" w:cs="Arial"/>
          <w:color w:val="767676"/>
          <w:sz w:val="18"/>
          <w:szCs w:val="18"/>
          <w:lang w:eastAsia="lt-LT"/>
        </w:rPr>
        <w:t> iki paraiškos pateikimo dienos (iki šiol buvo ne anksčiau kaip prieš 6 mėn. iki paraiškos pateikimo dienos).</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color w:val="767676"/>
          <w:sz w:val="18"/>
          <w:szCs w:val="18"/>
          <w:lang w:eastAsia="lt-LT"/>
        </w:rPr>
        <w:t> Primintina, jog tiek fiziniai, tiek privatūs juridiniai asmenys turi atitikti labai mažos įmonės reikalavimus ir būti savarankiški (išskyrus ūkininkus).</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color w:val="767676"/>
          <w:sz w:val="18"/>
          <w:szCs w:val="18"/>
          <w:lang w:eastAsia="lt-LT"/>
        </w:rPr>
        <w:t> </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b/>
          <w:bCs/>
          <w:color w:val="767676"/>
          <w:sz w:val="18"/>
          <w:szCs w:val="18"/>
          <w:lang w:eastAsia="lt-LT"/>
        </w:rPr>
        <w:t>Remiama veikla</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color w:val="767676"/>
          <w:sz w:val="18"/>
          <w:szCs w:val="18"/>
          <w:lang w:eastAsia="lt-LT"/>
        </w:rPr>
        <w:t> Parama pagal KPP veiklos sritį „Parama ekonominės veiklos pradžiai kaimo vietovėse“ teikiama pradėti </w:t>
      </w:r>
      <w:r w:rsidRPr="00A31C83">
        <w:rPr>
          <w:rFonts w:ascii="inherit" w:eastAsia="Times New Roman" w:hAnsi="inherit" w:cs="Arial"/>
          <w:b/>
          <w:bCs/>
          <w:color w:val="767676"/>
          <w:sz w:val="18"/>
          <w:szCs w:val="18"/>
          <w:lang w:eastAsia="lt-LT"/>
        </w:rPr>
        <w:t>ne žemės ūkio </w:t>
      </w:r>
      <w:r w:rsidRPr="00A31C83">
        <w:rPr>
          <w:rFonts w:ascii="inherit" w:eastAsia="Times New Roman" w:hAnsi="inherit" w:cs="Arial"/>
          <w:color w:val="767676"/>
          <w:sz w:val="18"/>
          <w:szCs w:val="18"/>
          <w:lang w:eastAsia="lt-LT"/>
        </w:rPr>
        <w:t>veiklą, atitinkančią </w:t>
      </w:r>
      <w:hyperlink r:id="rId5" w:history="1">
        <w:r w:rsidRPr="00A31C83">
          <w:rPr>
            <w:rFonts w:ascii="inherit" w:eastAsia="Times New Roman" w:hAnsi="inherit" w:cs="Arial"/>
            <w:color w:val="009650"/>
            <w:sz w:val="18"/>
            <w:szCs w:val="18"/>
            <w:u w:val="single"/>
            <w:lang w:eastAsia="lt-LT"/>
          </w:rPr>
          <w:t>Ekonominės veiklos rūšių klasifikatoriuje</w:t>
        </w:r>
      </w:hyperlink>
      <w:r w:rsidRPr="00A31C83">
        <w:rPr>
          <w:rFonts w:ascii="inherit" w:eastAsia="Times New Roman" w:hAnsi="inherit" w:cs="Arial"/>
          <w:color w:val="767676"/>
          <w:sz w:val="18"/>
          <w:szCs w:val="18"/>
          <w:lang w:eastAsia="lt-LT"/>
        </w:rPr>
        <w:t> nurodytas veiklas, išskyrus įgyvendinimo taisyklėse pateiktame neremtinų veiklų sąraše nurodytas veiklas.</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color w:val="767676"/>
          <w:sz w:val="18"/>
          <w:szCs w:val="18"/>
          <w:lang w:eastAsia="lt-LT"/>
        </w:rPr>
        <w:t> </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b/>
          <w:bCs/>
          <w:color w:val="767676"/>
          <w:sz w:val="18"/>
          <w:szCs w:val="18"/>
          <w:lang w:eastAsia="lt-LT"/>
        </w:rPr>
        <w:t>Kita informacija</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color w:val="767676"/>
          <w:sz w:val="18"/>
          <w:szCs w:val="18"/>
          <w:lang w:eastAsia="lt-LT"/>
        </w:rPr>
        <w:t> Paraiškos priimamos NMA teritoriniuose padaliniuose, taip pat elektroniniu būdu, naudojantis Žemės ūkio ministerijos informacine sistema ŽŪMIS adresu </w:t>
      </w:r>
      <w:hyperlink r:id="rId6" w:history="1">
        <w:r w:rsidRPr="00A31C83">
          <w:rPr>
            <w:rFonts w:ascii="inherit" w:eastAsia="Times New Roman" w:hAnsi="inherit" w:cs="Arial"/>
            <w:color w:val="009650"/>
            <w:sz w:val="18"/>
            <w:szCs w:val="18"/>
            <w:u w:val="single"/>
            <w:lang w:eastAsia="lt-LT"/>
          </w:rPr>
          <w:t>www.zumis.lt</w:t>
        </w:r>
      </w:hyperlink>
      <w:r w:rsidRPr="00A31C83">
        <w:rPr>
          <w:rFonts w:ascii="inherit" w:eastAsia="Times New Roman" w:hAnsi="inherit" w:cs="Arial"/>
          <w:color w:val="767676"/>
          <w:sz w:val="18"/>
          <w:szCs w:val="18"/>
          <w:lang w:eastAsia="lt-LT"/>
        </w:rPr>
        <w:t>.</w:t>
      </w:r>
    </w:p>
    <w:p w:rsidR="00A31C83" w:rsidRPr="00A31C83" w:rsidRDefault="00A31C83" w:rsidP="00A31C83">
      <w:pPr>
        <w:shd w:val="clear" w:color="auto" w:fill="FFFFFF"/>
        <w:spacing w:after="0" w:line="300" w:lineRule="atLeast"/>
        <w:jc w:val="both"/>
        <w:rPr>
          <w:rFonts w:ascii="inherit" w:eastAsia="Times New Roman" w:hAnsi="inherit" w:cs="Arial"/>
          <w:color w:val="767676"/>
          <w:sz w:val="18"/>
          <w:szCs w:val="18"/>
          <w:lang w:eastAsia="lt-LT"/>
        </w:rPr>
      </w:pPr>
      <w:r w:rsidRPr="00A31C83">
        <w:rPr>
          <w:rFonts w:ascii="inherit" w:eastAsia="Times New Roman" w:hAnsi="inherit" w:cs="Arial"/>
          <w:color w:val="767676"/>
          <w:sz w:val="18"/>
          <w:szCs w:val="18"/>
          <w:lang w:eastAsia="lt-LT"/>
        </w:rPr>
        <w:t> </w:t>
      </w:r>
    </w:p>
    <w:p w:rsidR="00386E55" w:rsidRDefault="00386E55"/>
    <w:sectPr w:rsidR="00386E55" w:rsidSect="00A31C83">
      <w:pgSz w:w="11906" w:h="16838"/>
      <w:pgMar w:top="1701" w:right="567" w:bottom="1134" w:left="156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Georgia">
    <w:panose1 w:val="02040502050405020303"/>
    <w:charset w:val="BA"/>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C83"/>
    <w:rsid w:val="00386E55"/>
    <w:rsid w:val="00A31C8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C2034"/>
  <w15:chartTrackingRefBased/>
  <w15:docId w15:val="{A78BAB22-1B1A-4FCD-9F14-026556970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5105112">
      <w:bodyDiv w:val="1"/>
      <w:marLeft w:val="0"/>
      <w:marRight w:val="0"/>
      <w:marTop w:val="0"/>
      <w:marBottom w:val="0"/>
      <w:divBdr>
        <w:top w:val="none" w:sz="0" w:space="0" w:color="auto"/>
        <w:left w:val="none" w:sz="0" w:space="0" w:color="auto"/>
        <w:bottom w:val="none" w:sz="0" w:space="0" w:color="auto"/>
        <w:right w:val="none" w:sz="0" w:space="0" w:color="auto"/>
      </w:divBdr>
      <w:divsChild>
        <w:div w:id="1679044205">
          <w:marLeft w:val="0"/>
          <w:marRight w:val="0"/>
          <w:marTop w:val="0"/>
          <w:marBottom w:val="0"/>
          <w:divBdr>
            <w:top w:val="none" w:sz="0" w:space="0" w:color="auto"/>
            <w:left w:val="none" w:sz="0" w:space="0" w:color="auto"/>
            <w:bottom w:val="none" w:sz="0" w:space="0" w:color="auto"/>
            <w:right w:val="none" w:sz="0" w:space="0" w:color="auto"/>
          </w:divBdr>
          <w:divsChild>
            <w:div w:id="805858748">
              <w:marLeft w:val="0"/>
              <w:marRight w:val="0"/>
              <w:marTop w:val="0"/>
              <w:marBottom w:val="0"/>
              <w:divBdr>
                <w:top w:val="none" w:sz="0" w:space="0" w:color="auto"/>
                <w:left w:val="none" w:sz="0" w:space="0" w:color="auto"/>
                <w:bottom w:val="none" w:sz="0" w:space="0" w:color="auto"/>
                <w:right w:val="none" w:sz="0" w:space="0" w:color="auto"/>
              </w:divBdr>
              <w:divsChild>
                <w:div w:id="11493334">
                  <w:marLeft w:val="0"/>
                  <w:marRight w:val="0"/>
                  <w:marTop w:val="0"/>
                  <w:marBottom w:val="0"/>
                  <w:divBdr>
                    <w:top w:val="single" w:sz="6" w:space="0" w:color="FFFFFF"/>
                    <w:left w:val="single" w:sz="6" w:space="6" w:color="FFFFFF"/>
                    <w:bottom w:val="single" w:sz="6" w:space="0" w:color="FFFFFF"/>
                    <w:right w:val="single" w:sz="6" w:space="23" w:color="FFFFFF"/>
                  </w:divBdr>
                </w:div>
              </w:divsChild>
            </w:div>
          </w:divsChild>
        </w:div>
        <w:div w:id="264391427">
          <w:marLeft w:val="15"/>
          <w:marRight w:val="360"/>
          <w:marTop w:val="15"/>
          <w:marBottom w:val="180"/>
          <w:divBdr>
            <w:top w:val="single" w:sz="36" w:space="0" w:color="FFFFFF"/>
            <w:left w:val="single" w:sz="36" w:space="0" w:color="FFFFFF"/>
            <w:bottom w:val="single" w:sz="36" w:space="0" w:color="FFFFFF"/>
            <w:right w:val="single" w:sz="36" w:space="0" w:color="FFFFFF"/>
          </w:divBdr>
        </w:div>
        <w:div w:id="333995772">
          <w:marLeft w:val="0"/>
          <w:marRight w:val="0"/>
          <w:marTop w:val="0"/>
          <w:marBottom w:val="0"/>
          <w:divBdr>
            <w:top w:val="none" w:sz="0" w:space="0" w:color="auto"/>
            <w:left w:val="none" w:sz="0" w:space="0" w:color="auto"/>
            <w:bottom w:val="none" w:sz="0" w:space="0" w:color="auto"/>
            <w:right w:val="none" w:sz="0" w:space="0" w:color="auto"/>
          </w:divBdr>
          <w:divsChild>
            <w:div w:id="139653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umis.lt/ext/measuredesc/541?3" TargetMode="External"/><Relationship Id="rId5" Type="http://schemas.openxmlformats.org/officeDocument/2006/relationships/hyperlink" Target="https://www.e-tar.lt/portal/lt/legalAct/TAR.54CEC8F63B97" TargetMode="External"/><Relationship Id="rId4" Type="http://schemas.openxmlformats.org/officeDocument/2006/relationships/hyperlink" Target="http://zum.lrv.lt/lt/naujienos/parama-startuoliams-kaime"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3312</Words>
  <Characters>1889</Characters>
  <Application>Microsoft Office Word</Application>
  <DocSecurity>0</DocSecurity>
  <Lines>15</Lines>
  <Paragraphs>10</Paragraphs>
  <ScaleCrop>false</ScaleCrop>
  <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2020-05-19T08:01:00Z</dcterms:created>
  <dcterms:modified xsi:type="dcterms:W3CDTF">2020-05-19T08:03:00Z</dcterms:modified>
</cp:coreProperties>
</file>