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E8" w:rsidRPr="00B07EE8" w:rsidRDefault="00B07EE8" w:rsidP="00B07EE8">
      <w:pPr>
        <w:spacing w:after="0"/>
        <w:ind w:left="4536"/>
        <w:jc w:val="both"/>
        <w:rPr>
          <w:rFonts w:ascii="Times New Roman" w:hAnsi="Times New Roman" w:cs="Times New Roman"/>
          <w:color w:val="000000"/>
          <w:lang w:eastAsia="lt-LT"/>
        </w:rPr>
      </w:pPr>
      <w:r w:rsidRPr="00B07EE8">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B07EE8">
        <w:rPr>
          <w:rFonts w:ascii="Times New Roman" w:eastAsia="Calibri" w:hAnsi="Times New Roman" w:cs="Times New Roman"/>
        </w:rPr>
        <w:t>„Kultūros savitumo išsaugojimas, tradicijų tęstinumas“ veiklos sritį „Parama kaimo gyventojų bendruomeniškumo ir pilietiškumo ugdymui (krašto tradicinių renginių organizavimas, stovyklos, konferencijos, išvykos)“ finansavimo sąlygų aprašo</w:t>
      </w:r>
    </w:p>
    <w:p w:rsidR="00F16A4C" w:rsidRPr="00B07EE8" w:rsidRDefault="00F16A4C" w:rsidP="00B07EE8">
      <w:pPr>
        <w:spacing w:after="0"/>
        <w:ind w:left="4536"/>
        <w:jc w:val="both"/>
        <w:rPr>
          <w:rFonts w:ascii="Times New Roman" w:hAnsi="Times New Roman" w:cs="Times New Roman"/>
          <w:color w:val="000000"/>
          <w:lang w:eastAsia="lt-LT"/>
        </w:rPr>
      </w:pPr>
      <w:r w:rsidRPr="00B07EE8">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0" w:name="RANGE!A1:G66"/>
            <w:r w:rsidRPr="00F16A4C">
              <w:rPr>
                <w:rFonts w:ascii="Times New Roman" w:eastAsia="Times New Roman" w:hAnsi="Times New Roman" w:cs="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317F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bookmarkStart w:id="2" w:name="_GoBack"/>
            <w:bookmarkEnd w:id="2"/>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7FA" w:rsidRDefault="002317FA">
      <w:pPr>
        <w:spacing w:after="0" w:line="240" w:lineRule="auto"/>
      </w:pPr>
      <w:r>
        <w:separator/>
      </w:r>
    </w:p>
  </w:endnote>
  <w:endnote w:type="continuationSeparator" w:id="0">
    <w:p w:rsidR="002317FA" w:rsidRDefault="0023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7FA" w:rsidRDefault="002317FA">
      <w:pPr>
        <w:spacing w:after="0" w:line="240" w:lineRule="auto"/>
      </w:pPr>
      <w:r>
        <w:separator/>
      </w:r>
    </w:p>
  </w:footnote>
  <w:footnote w:type="continuationSeparator" w:id="0">
    <w:p w:rsidR="002317FA" w:rsidRDefault="0023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07EE8">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2317F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2317FA">
    <w:pPr>
      <w:pStyle w:val="Antrats"/>
      <w:jc w:val="center"/>
      <w:rPr>
        <w:rFonts w:ascii="Times New Roman" w:hAnsi="Times New Roman" w:cs="Times New Roman"/>
      </w:rPr>
    </w:pPr>
  </w:p>
  <w:p w:rsidR="00EC0DF4" w:rsidRDefault="002317F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A0500"/>
    <w:rsid w:val="000D131E"/>
    <w:rsid w:val="002317FA"/>
    <w:rsid w:val="00311EA0"/>
    <w:rsid w:val="003F1B73"/>
    <w:rsid w:val="004C2F19"/>
    <w:rsid w:val="00650BCD"/>
    <w:rsid w:val="00702E97"/>
    <w:rsid w:val="007653A3"/>
    <w:rsid w:val="008A65E9"/>
    <w:rsid w:val="00A57F1F"/>
    <w:rsid w:val="00B07EE8"/>
    <w:rsid w:val="00C958CA"/>
    <w:rsid w:val="00D0194A"/>
    <w:rsid w:val="00EF0D36"/>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14255</Words>
  <Characters>8126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13</cp:revision>
  <dcterms:created xsi:type="dcterms:W3CDTF">2017-09-20T13:40:00Z</dcterms:created>
  <dcterms:modified xsi:type="dcterms:W3CDTF">2019-06-10T12:42:00Z</dcterms:modified>
</cp:coreProperties>
</file>