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4C" w:rsidRPr="00F16A4C" w:rsidRDefault="00F16A4C" w:rsidP="00F16A4C">
      <w:pPr>
        <w:spacing w:after="0" w:line="240" w:lineRule="auto"/>
        <w:ind w:left="4395"/>
        <w:jc w:val="both"/>
        <w:rPr>
          <w:rFonts w:ascii="Times New Roman" w:hAnsi="Times New Roman" w:cs="Times New Roman"/>
          <w:color w:val="000000"/>
          <w:sz w:val="24"/>
          <w:szCs w:val="24"/>
          <w:lang w:eastAsia="lt-LT"/>
        </w:rPr>
      </w:pPr>
      <w:bookmarkStart w:id="0" w:name="_GoBack"/>
      <w:bookmarkEnd w:id="0"/>
      <w:r w:rsidRPr="00F16A4C">
        <w:rPr>
          <w:rFonts w:ascii="Times New Roman" w:hAnsi="Times New Roman" w:cs="Times New Roman"/>
          <w:color w:val="000000"/>
          <w:sz w:val="24"/>
          <w:szCs w:val="24"/>
          <w:lang w:eastAsia="lt-LT"/>
        </w:rPr>
        <w:t>Vietos projektų, teikiamų pagal Švenčionių rajono vietos veiklos grupės Švenčionių partnerystė“ teritorijos 201</w:t>
      </w:r>
      <w:r w:rsidR="005C1D57">
        <w:rPr>
          <w:rFonts w:ascii="Times New Roman" w:hAnsi="Times New Roman" w:cs="Times New Roman"/>
          <w:color w:val="000000"/>
          <w:sz w:val="24"/>
          <w:szCs w:val="24"/>
          <w:lang w:eastAsia="lt-LT"/>
        </w:rPr>
        <w:t>5</w:t>
      </w:r>
      <w:r w:rsidRPr="00F16A4C">
        <w:rPr>
          <w:rFonts w:ascii="Times New Roman" w:hAnsi="Times New Roman" w:cs="Times New Roman"/>
          <w:color w:val="000000"/>
          <w:sz w:val="24"/>
          <w:szCs w:val="24"/>
          <w:lang w:eastAsia="lt-LT"/>
        </w:rPr>
        <w:t xml:space="preserve">-2023 m. vietos plėtros strategijos priemonės </w:t>
      </w:r>
      <w:r w:rsidRPr="00F16A4C">
        <w:rPr>
          <w:rFonts w:ascii="Times New Roman" w:eastAsia="Calibri" w:hAnsi="Times New Roman" w:cs="Times New Roman"/>
          <w:sz w:val="24"/>
          <w:szCs w:val="24"/>
        </w:rPr>
        <w:t xml:space="preserve">„Ūkio ir verslo plėtra“ veiklos sritį „Parama ne žemės ūkio verslui kaimo vietovėse </w:t>
      </w:r>
      <w:r w:rsidR="00433126">
        <w:rPr>
          <w:rFonts w:ascii="Times New Roman" w:eastAsia="Calibri" w:hAnsi="Times New Roman" w:cs="Times New Roman"/>
          <w:sz w:val="24"/>
          <w:szCs w:val="24"/>
        </w:rPr>
        <w:t>plėtoti</w:t>
      </w:r>
      <w:r w:rsidRPr="00F16A4C">
        <w:rPr>
          <w:rFonts w:ascii="Times New Roman" w:eastAsia="Calibri" w:hAnsi="Times New Roman" w:cs="Times New Roman"/>
          <w:sz w:val="24"/>
          <w:szCs w:val="24"/>
        </w:rPr>
        <w:t xml:space="preserve"> (reglamentuoja KPP)“ finansavimo sąlygų aprašo</w:t>
      </w:r>
    </w:p>
    <w:p w:rsidR="00F16A4C" w:rsidRPr="00F16A4C" w:rsidRDefault="00F16A4C" w:rsidP="00F16A4C">
      <w:pPr>
        <w:spacing w:after="0" w:line="240" w:lineRule="auto"/>
        <w:ind w:left="4395"/>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4</w:t>
      </w:r>
      <w:r w:rsidRPr="00F16A4C">
        <w:rPr>
          <w:rFonts w:ascii="Times New Roman" w:hAnsi="Times New Roman" w:cs="Times New Roman"/>
          <w:color w:val="000000"/>
          <w:sz w:val="24"/>
          <w:szCs w:val="24"/>
          <w:lang w:eastAsia="lt-LT"/>
        </w:rPr>
        <w:t xml:space="preserve">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894F4E"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894F4E"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894F4E"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94F4E"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94F4E"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94F4E"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94F4E"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94F4E"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894F4E"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894F4E"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F4E" w:rsidRDefault="00894F4E">
      <w:pPr>
        <w:spacing w:after="0" w:line="240" w:lineRule="auto"/>
      </w:pPr>
      <w:r>
        <w:separator/>
      </w:r>
    </w:p>
  </w:endnote>
  <w:endnote w:type="continuationSeparator" w:id="0">
    <w:p w:rsidR="00894F4E" w:rsidRDefault="0089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F4E" w:rsidRDefault="00894F4E">
      <w:pPr>
        <w:spacing w:after="0" w:line="240" w:lineRule="auto"/>
      </w:pPr>
      <w:r>
        <w:separator/>
      </w:r>
    </w:p>
  </w:footnote>
  <w:footnote w:type="continuationSeparator" w:id="0">
    <w:p w:rsidR="00894F4E" w:rsidRDefault="00894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753AB">
          <w:rPr>
            <w:rFonts w:ascii="Times New Roman" w:hAnsi="Times New Roman" w:cs="Times New Roman"/>
            <w:noProof/>
          </w:rPr>
          <w:t>2</w:t>
        </w:r>
        <w:r>
          <w:rPr>
            <w:rFonts w:ascii="Times New Roman" w:hAnsi="Times New Roman" w:cs="Times New Roman"/>
          </w:rPr>
          <w:fldChar w:fldCharType="end"/>
        </w:r>
      </w:p>
    </w:sdtContent>
  </w:sdt>
  <w:p w:rsidR="00EC0DF4" w:rsidRPr="00344F58" w:rsidRDefault="00894F4E"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894F4E">
    <w:pPr>
      <w:pStyle w:val="Antrats"/>
      <w:jc w:val="center"/>
      <w:rPr>
        <w:rFonts w:ascii="Times New Roman" w:hAnsi="Times New Roman" w:cs="Times New Roman"/>
      </w:rPr>
    </w:pPr>
  </w:p>
  <w:p w:rsidR="00EC0DF4" w:rsidRDefault="00894F4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433126"/>
    <w:rsid w:val="005C1D57"/>
    <w:rsid w:val="008517EA"/>
    <w:rsid w:val="00894F4E"/>
    <w:rsid w:val="008A65E9"/>
    <w:rsid w:val="00971907"/>
    <w:rsid w:val="00D0194A"/>
    <w:rsid w:val="00E753AB"/>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hp</cp:lastModifiedBy>
  <cp:revision>2</cp:revision>
  <dcterms:created xsi:type="dcterms:W3CDTF">2018-02-28T09:41:00Z</dcterms:created>
  <dcterms:modified xsi:type="dcterms:W3CDTF">2018-02-28T09:41:00Z</dcterms:modified>
</cp:coreProperties>
</file>