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2F01" w:rsidRPr="00596D7F" w:rsidRDefault="00596D7F" w:rsidP="00596D7F">
      <w:pPr>
        <w:jc w:val="center"/>
        <w:rPr>
          <w:rFonts w:ascii="Times New Roman" w:hAnsi="Times New Roman" w:cs="Times New Roman"/>
          <w:b/>
          <w:sz w:val="24"/>
          <w:szCs w:val="24"/>
        </w:rPr>
      </w:pPr>
      <w:r w:rsidRPr="00596D7F">
        <w:rPr>
          <w:rFonts w:ascii="Times New Roman" w:hAnsi="Times New Roman" w:cs="Times New Roman"/>
          <w:b/>
          <w:sz w:val="24"/>
          <w:szCs w:val="24"/>
        </w:rPr>
        <w:t>Pagrindiniai vidutinės, mažos ir labai mažos įmonės kriterijai</w:t>
      </w:r>
    </w:p>
    <w:p w:rsidR="00852F01" w:rsidRDefault="00852F01" w:rsidP="00852F01">
      <w:bookmarkStart w:id="0" w:name="_GoBack"/>
      <w:bookmarkEnd w:id="0"/>
    </w:p>
    <w:tbl>
      <w:tblPr>
        <w:tblStyle w:val="Lentelstinklelis"/>
        <w:tblW w:w="14454" w:type="dxa"/>
        <w:tblLook w:val="04A0" w:firstRow="1" w:lastRow="0" w:firstColumn="1" w:lastColumn="0" w:noHBand="0" w:noVBand="1"/>
      </w:tblPr>
      <w:tblGrid>
        <w:gridCol w:w="1838"/>
        <w:gridCol w:w="1843"/>
        <w:gridCol w:w="1701"/>
        <w:gridCol w:w="9072"/>
      </w:tblGrid>
      <w:tr w:rsidR="00596D7F" w:rsidRPr="0000145C" w:rsidTr="00596D7F">
        <w:tc>
          <w:tcPr>
            <w:tcW w:w="1838" w:type="dxa"/>
            <w:vAlign w:val="center"/>
          </w:tcPr>
          <w:p w:rsidR="00852F01" w:rsidRPr="0000145C" w:rsidRDefault="00852F01" w:rsidP="00852F01">
            <w:pPr>
              <w:rPr>
                <w:rFonts w:ascii="Times New Roman" w:hAnsi="Times New Roman" w:cs="Times New Roman"/>
              </w:rPr>
            </w:pPr>
            <w:r w:rsidRPr="0000145C">
              <w:rPr>
                <w:rStyle w:val="Grietas"/>
                <w:rFonts w:ascii="Times New Roman" w:hAnsi="Times New Roman" w:cs="Times New Roman"/>
                <w:color w:val="333333"/>
                <w:bdr w:val="none" w:sz="0" w:space="0" w:color="auto" w:frame="1"/>
              </w:rPr>
              <w:t>Vidutinė įmonė</w:t>
            </w:r>
          </w:p>
        </w:tc>
        <w:tc>
          <w:tcPr>
            <w:tcW w:w="1843" w:type="dxa"/>
            <w:vAlign w:val="center"/>
          </w:tcPr>
          <w:p w:rsidR="00852F01" w:rsidRPr="0000145C" w:rsidRDefault="00852F01" w:rsidP="00852F01">
            <w:pPr>
              <w:rPr>
                <w:rFonts w:ascii="Times New Roman" w:hAnsi="Times New Roman" w:cs="Times New Roman"/>
              </w:rPr>
            </w:pPr>
            <w:r w:rsidRPr="0000145C">
              <w:rPr>
                <w:rStyle w:val="Grietas"/>
                <w:rFonts w:ascii="Times New Roman" w:hAnsi="Times New Roman" w:cs="Times New Roman"/>
                <w:color w:val="333333"/>
                <w:bdr w:val="none" w:sz="0" w:space="0" w:color="auto" w:frame="1"/>
              </w:rPr>
              <w:t>Maža įmonė   </w:t>
            </w:r>
          </w:p>
        </w:tc>
        <w:tc>
          <w:tcPr>
            <w:tcW w:w="1701" w:type="dxa"/>
            <w:vAlign w:val="center"/>
          </w:tcPr>
          <w:p w:rsidR="00852F01" w:rsidRPr="0000145C" w:rsidRDefault="00852F01" w:rsidP="00852F01">
            <w:pPr>
              <w:rPr>
                <w:rFonts w:ascii="Times New Roman" w:hAnsi="Times New Roman" w:cs="Times New Roman"/>
              </w:rPr>
            </w:pPr>
            <w:r w:rsidRPr="0000145C">
              <w:rPr>
                <w:rStyle w:val="Grietas"/>
                <w:rFonts w:ascii="Times New Roman" w:hAnsi="Times New Roman" w:cs="Times New Roman"/>
                <w:color w:val="333333"/>
                <w:bdr w:val="none" w:sz="0" w:space="0" w:color="auto" w:frame="1"/>
              </w:rPr>
              <w:t>Labai maža įmonė</w:t>
            </w:r>
          </w:p>
        </w:tc>
        <w:tc>
          <w:tcPr>
            <w:tcW w:w="9072" w:type="dxa"/>
          </w:tcPr>
          <w:p w:rsidR="00852F01" w:rsidRPr="0000145C" w:rsidRDefault="0000145C" w:rsidP="0000145C">
            <w:pPr>
              <w:jc w:val="center"/>
              <w:rPr>
                <w:rFonts w:ascii="Times New Roman" w:hAnsi="Times New Roman" w:cs="Times New Roman"/>
              </w:rPr>
            </w:pPr>
            <w:r w:rsidRPr="0000145C">
              <w:rPr>
                <w:rStyle w:val="Grietas"/>
                <w:rFonts w:ascii="Times New Roman" w:hAnsi="Times New Roman" w:cs="Times New Roman"/>
                <w:color w:val="333333"/>
                <w:bdr w:val="none" w:sz="0" w:space="0" w:color="auto" w:frame="1"/>
              </w:rPr>
              <w:t>Paaiškinimai</w:t>
            </w:r>
          </w:p>
        </w:tc>
      </w:tr>
      <w:tr w:rsidR="00596D7F" w:rsidRPr="0000145C" w:rsidTr="00596D7F">
        <w:tc>
          <w:tcPr>
            <w:tcW w:w="1838" w:type="dxa"/>
            <w:shd w:val="clear" w:color="auto" w:fill="auto"/>
            <w:vAlign w:val="center"/>
          </w:tcPr>
          <w:p w:rsidR="00852F01" w:rsidRPr="0000145C" w:rsidRDefault="00852F01" w:rsidP="00852F01">
            <w:pPr>
              <w:rPr>
                <w:rFonts w:ascii="Times New Roman" w:hAnsi="Times New Roman" w:cs="Times New Roman"/>
              </w:rPr>
            </w:pPr>
            <w:r w:rsidRPr="0000145C">
              <w:rPr>
                <w:rFonts w:ascii="Times New Roman" w:hAnsi="Times New Roman" w:cs="Times New Roman"/>
                <w:color w:val="333333"/>
              </w:rPr>
              <w:t>dirba mažiau kaip </w:t>
            </w:r>
            <w:r w:rsidRPr="0000145C">
              <w:rPr>
                <w:rStyle w:val="Grietas"/>
                <w:rFonts w:ascii="Times New Roman" w:hAnsi="Times New Roman" w:cs="Times New Roman"/>
                <w:color w:val="333333"/>
                <w:bdr w:val="none" w:sz="0" w:space="0" w:color="auto" w:frame="1"/>
              </w:rPr>
              <w:t>250 darbuotojų</w:t>
            </w:r>
          </w:p>
        </w:tc>
        <w:tc>
          <w:tcPr>
            <w:tcW w:w="1843" w:type="dxa"/>
            <w:shd w:val="clear" w:color="auto" w:fill="auto"/>
            <w:vAlign w:val="center"/>
          </w:tcPr>
          <w:p w:rsidR="00852F01" w:rsidRPr="0000145C" w:rsidRDefault="00852F01" w:rsidP="00852F01">
            <w:pPr>
              <w:rPr>
                <w:rFonts w:ascii="Times New Roman" w:hAnsi="Times New Roman" w:cs="Times New Roman"/>
              </w:rPr>
            </w:pPr>
            <w:r w:rsidRPr="0000145C">
              <w:rPr>
                <w:rFonts w:ascii="Times New Roman" w:hAnsi="Times New Roman" w:cs="Times New Roman"/>
                <w:color w:val="333333"/>
              </w:rPr>
              <w:t>dirba mažiau kaip </w:t>
            </w:r>
            <w:r w:rsidRPr="0000145C">
              <w:rPr>
                <w:rStyle w:val="Grietas"/>
                <w:rFonts w:ascii="Times New Roman" w:hAnsi="Times New Roman" w:cs="Times New Roman"/>
                <w:color w:val="333333"/>
                <w:bdr w:val="none" w:sz="0" w:space="0" w:color="auto" w:frame="1"/>
              </w:rPr>
              <w:t>50 darbuotojų</w:t>
            </w:r>
          </w:p>
        </w:tc>
        <w:tc>
          <w:tcPr>
            <w:tcW w:w="1701" w:type="dxa"/>
            <w:shd w:val="clear" w:color="auto" w:fill="auto"/>
            <w:vAlign w:val="center"/>
          </w:tcPr>
          <w:p w:rsidR="00852F01" w:rsidRPr="0000145C" w:rsidRDefault="00852F01" w:rsidP="00852F01">
            <w:pPr>
              <w:rPr>
                <w:rFonts w:ascii="Times New Roman" w:hAnsi="Times New Roman" w:cs="Times New Roman"/>
              </w:rPr>
            </w:pPr>
            <w:r w:rsidRPr="0000145C">
              <w:rPr>
                <w:rFonts w:ascii="Times New Roman" w:hAnsi="Times New Roman" w:cs="Times New Roman"/>
                <w:color w:val="333333"/>
              </w:rPr>
              <w:t>dirba mažiau kaip </w:t>
            </w:r>
            <w:r w:rsidRPr="0000145C">
              <w:rPr>
                <w:rStyle w:val="Grietas"/>
                <w:rFonts w:ascii="Times New Roman" w:hAnsi="Times New Roman" w:cs="Times New Roman"/>
                <w:color w:val="333333"/>
                <w:bdr w:val="none" w:sz="0" w:space="0" w:color="auto" w:frame="1"/>
              </w:rPr>
              <w:t>10 darbuotojų</w:t>
            </w:r>
          </w:p>
        </w:tc>
        <w:tc>
          <w:tcPr>
            <w:tcW w:w="9072" w:type="dxa"/>
            <w:shd w:val="clear" w:color="auto" w:fill="auto"/>
          </w:tcPr>
          <w:p w:rsidR="00852F01" w:rsidRPr="0000145C" w:rsidRDefault="0000145C" w:rsidP="0000145C">
            <w:pPr>
              <w:jc w:val="both"/>
              <w:rPr>
                <w:rFonts w:ascii="Times New Roman" w:hAnsi="Times New Roman" w:cs="Times New Roman"/>
              </w:rPr>
            </w:pPr>
            <w:r>
              <w:rPr>
                <w:rFonts w:ascii="Times New Roman" w:hAnsi="Times New Roman" w:cs="Times New Roman"/>
                <w:color w:val="333333"/>
              </w:rPr>
              <w:t xml:space="preserve">     </w:t>
            </w:r>
            <w:r w:rsidRPr="0000145C">
              <w:rPr>
                <w:rFonts w:ascii="Times New Roman" w:hAnsi="Times New Roman" w:cs="Times New Roman"/>
                <w:color w:val="333333"/>
              </w:rPr>
              <w:t>Įmonės darbuotojų skaičių atitinka vidutinis metinis darbuotojų skaičius. Vidutinis metinis darbuotojų skaičius nustatomas pagal paskutinių metų arba, jeigu įmonė veikia ilgiau kaip dvejus metus, – pagal paskutinių dvejų metų įmonės duomenis. Vidutinio metinio darbuotojų skaičiaus nustatymo tvarkos aprašą tvirtina Lietuvos Respublikos Vyriausybė (toliau – Vyriausybė) ar jos įgaliota institucija.</w:t>
            </w:r>
          </w:p>
        </w:tc>
      </w:tr>
      <w:tr w:rsidR="00596D7F" w:rsidRPr="0000145C" w:rsidTr="00596D7F">
        <w:tc>
          <w:tcPr>
            <w:tcW w:w="1838" w:type="dxa"/>
            <w:vAlign w:val="center"/>
          </w:tcPr>
          <w:p w:rsidR="0000145C" w:rsidRPr="0000145C" w:rsidRDefault="0000145C" w:rsidP="00852F01">
            <w:pPr>
              <w:rPr>
                <w:rFonts w:ascii="Times New Roman" w:hAnsi="Times New Roman" w:cs="Times New Roman"/>
                <w:color w:val="333333"/>
              </w:rPr>
            </w:pPr>
            <w:r w:rsidRPr="0000145C">
              <w:rPr>
                <w:rFonts w:ascii="Times New Roman" w:hAnsi="Times New Roman" w:cs="Times New Roman"/>
                <w:color w:val="333333"/>
              </w:rPr>
              <w:t>įmonės metinės pajamos</w:t>
            </w:r>
            <w:r w:rsidRPr="0000145C">
              <w:rPr>
                <w:rFonts w:ascii="Times New Roman" w:hAnsi="Times New Roman" w:cs="Times New Roman"/>
                <w:color w:val="333333"/>
              </w:rPr>
              <w:t xml:space="preserve"> </w:t>
            </w:r>
          </w:p>
          <w:p w:rsidR="00852F01" w:rsidRPr="0000145C" w:rsidRDefault="0000145C" w:rsidP="00852F01">
            <w:pPr>
              <w:rPr>
                <w:rFonts w:ascii="Times New Roman" w:hAnsi="Times New Roman" w:cs="Times New Roman"/>
              </w:rPr>
            </w:pPr>
            <w:r w:rsidRPr="0000145C">
              <w:rPr>
                <w:rStyle w:val="Grietas"/>
                <w:rFonts w:ascii="Times New Roman" w:hAnsi="Times New Roman" w:cs="Times New Roman"/>
                <w:color w:val="333333"/>
                <w:bdr w:val="none" w:sz="0" w:space="0" w:color="auto" w:frame="1"/>
              </w:rPr>
              <w:t>neviršija 50 mln. eurų</w:t>
            </w:r>
          </w:p>
        </w:tc>
        <w:tc>
          <w:tcPr>
            <w:tcW w:w="1843" w:type="dxa"/>
            <w:vAlign w:val="center"/>
          </w:tcPr>
          <w:p w:rsidR="0000145C" w:rsidRPr="0000145C" w:rsidRDefault="0000145C" w:rsidP="00852F01">
            <w:pPr>
              <w:rPr>
                <w:rFonts w:ascii="Times New Roman" w:hAnsi="Times New Roman" w:cs="Times New Roman"/>
                <w:color w:val="333333"/>
              </w:rPr>
            </w:pPr>
            <w:r w:rsidRPr="0000145C">
              <w:rPr>
                <w:rFonts w:ascii="Times New Roman" w:hAnsi="Times New Roman" w:cs="Times New Roman"/>
                <w:color w:val="333333"/>
              </w:rPr>
              <w:t>įmonės metinės pajamos </w:t>
            </w:r>
          </w:p>
          <w:p w:rsidR="00852F01" w:rsidRPr="0000145C" w:rsidRDefault="0000145C" w:rsidP="00852F01">
            <w:pPr>
              <w:rPr>
                <w:rFonts w:ascii="Times New Roman" w:hAnsi="Times New Roman" w:cs="Times New Roman"/>
              </w:rPr>
            </w:pPr>
            <w:r w:rsidRPr="0000145C">
              <w:rPr>
                <w:rStyle w:val="Grietas"/>
                <w:rFonts w:ascii="Times New Roman" w:hAnsi="Times New Roman" w:cs="Times New Roman"/>
                <w:color w:val="333333"/>
                <w:bdr w:val="none" w:sz="0" w:space="0" w:color="auto" w:frame="1"/>
              </w:rPr>
              <w:t>neviršija 10 mln. eurų</w:t>
            </w:r>
          </w:p>
        </w:tc>
        <w:tc>
          <w:tcPr>
            <w:tcW w:w="1701" w:type="dxa"/>
            <w:vAlign w:val="center"/>
          </w:tcPr>
          <w:p w:rsidR="0000145C" w:rsidRPr="0000145C" w:rsidRDefault="0000145C" w:rsidP="00852F01">
            <w:pPr>
              <w:rPr>
                <w:rFonts w:ascii="Times New Roman" w:hAnsi="Times New Roman" w:cs="Times New Roman"/>
                <w:color w:val="333333"/>
              </w:rPr>
            </w:pPr>
            <w:r w:rsidRPr="0000145C">
              <w:rPr>
                <w:rFonts w:ascii="Times New Roman" w:hAnsi="Times New Roman" w:cs="Times New Roman"/>
                <w:color w:val="333333"/>
              </w:rPr>
              <w:t>įmonės metinės pajamos</w:t>
            </w:r>
          </w:p>
          <w:p w:rsidR="00852F01" w:rsidRPr="0000145C" w:rsidRDefault="0000145C" w:rsidP="00852F01">
            <w:pPr>
              <w:rPr>
                <w:rFonts w:ascii="Times New Roman" w:hAnsi="Times New Roman" w:cs="Times New Roman"/>
              </w:rPr>
            </w:pPr>
            <w:r w:rsidRPr="0000145C">
              <w:rPr>
                <w:rStyle w:val="Grietas"/>
                <w:rFonts w:ascii="Times New Roman" w:hAnsi="Times New Roman" w:cs="Times New Roman"/>
                <w:color w:val="333333"/>
                <w:bdr w:val="none" w:sz="0" w:space="0" w:color="auto" w:frame="1"/>
              </w:rPr>
              <w:t>neviršija 2 mln. eurų</w:t>
            </w:r>
          </w:p>
        </w:tc>
        <w:tc>
          <w:tcPr>
            <w:tcW w:w="9072" w:type="dxa"/>
            <w:shd w:val="clear" w:color="auto" w:fill="auto"/>
          </w:tcPr>
          <w:p w:rsidR="0000145C" w:rsidRDefault="0000145C" w:rsidP="0000145C">
            <w:pPr>
              <w:jc w:val="both"/>
              <w:rPr>
                <w:rFonts w:ascii="Times New Roman" w:hAnsi="Times New Roman" w:cs="Times New Roman"/>
                <w:color w:val="333333"/>
              </w:rPr>
            </w:pPr>
            <w:r>
              <w:rPr>
                <w:rFonts w:ascii="Times New Roman" w:hAnsi="Times New Roman" w:cs="Times New Roman"/>
                <w:color w:val="333333"/>
              </w:rPr>
              <w:t xml:space="preserve">     </w:t>
            </w:r>
            <w:r w:rsidRPr="0000145C">
              <w:rPr>
                <w:rFonts w:ascii="Times New Roman" w:hAnsi="Times New Roman" w:cs="Times New Roman"/>
                <w:color w:val="333333"/>
              </w:rPr>
              <w:t>Į</w:t>
            </w:r>
            <w:r w:rsidRPr="0000145C">
              <w:rPr>
                <w:rStyle w:val="Grietas"/>
                <w:rFonts w:ascii="Times New Roman" w:hAnsi="Times New Roman" w:cs="Times New Roman"/>
                <w:color w:val="333333"/>
                <w:bdr w:val="none" w:sz="0" w:space="0" w:color="auto" w:frame="1"/>
              </w:rPr>
              <w:t>monės finansiniai duomenys nustatomi pagal paskutinių metų arba, jeigu įmonė veikia daugiau kaip dvejus metus</w:t>
            </w:r>
            <w:r w:rsidRPr="0000145C">
              <w:rPr>
                <w:rFonts w:ascii="Times New Roman" w:hAnsi="Times New Roman" w:cs="Times New Roman"/>
                <w:color w:val="333333"/>
              </w:rPr>
              <w:t>, – pagal paskutinių dvejų metų patvirtintų įmonės metinių finansinių ataskaitų rinkinį (toliau – metinės finansinės ataskaitos) arba įmonių grupės metinių konsoliduotųjų finansinių ataskaitų rinkinį (toliau – metinės konsoliduotosios finansinės ataskaitos).  </w:t>
            </w:r>
            <w:r w:rsidRPr="0000145C">
              <w:rPr>
                <w:rStyle w:val="Grietas"/>
                <w:rFonts w:ascii="Times New Roman" w:hAnsi="Times New Roman" w:cs="Times New Roman"/>
                <w:color w:val="333333"/>
                <w:bdr w:val="none" w:sz="0" w:space="0" w:color="auto" w:frame="1"/>
              </w:rPr>
              <w:t>Jeigu sudaryti ir tvirtinti metines finansines ataskaitas arba metines konsoliduotąsias finansines ataskaitas įmonei nėra privaloma</w:t>
            </w:r>
            <w:r w:rsidRPr="0000145C">
              <w:rPr>
                <w:rFonts w:ascii="Times New Roman" w:hAnsi="Times New Roman" w:cs="Times New Roman"/>
                <w:color w:val="333333"/>
              </w:rPr>
              <w:t>, įmonės finansiniai duomenys nustatomi vadovaujantis kitais finansiniais dokumentais, kuriuose sukauptos informacijos pakanka  nurodytiems finansiniams duomenims</w:t>
            </w:r>
            <w:r w:rsidRPr="0000145C">
              <w:rPr>
                <w:rFonts w:ascii="Times New Roman" w:hAnsi="Times New Roman" w:cs="Times New Roman"/>
                <w:color w:val="333333"/>
                <w:shd w:val="clear" w:color="auto" w:fill="EEEEEE"/>
              </w:rPr>
              <w:t xml:space="preserve"> </w:t>
            </w:r>
            <w:r w:rsidRPr="0000145C">
              <w:rPr>
                <w:rFonts w:ascii="Times New Roman" w:hAnsi="Times New Roman" w:cs="Times New Roman"/>
                <w:color w:val="333333"/>
              </w:rPr>
              <w:t>nustatyti. </w:t>
            </w:r>
          </w:p>
          <w:p w:rsidR="00852F01" w:rsidRPr="0000145C" w:rsidRDefault="0000145C" w:rsidP="0000145C">
            <w:pPr>
              <w:jc w:val="both"/>
              <w:rPr>
                <w:rFonts w:ascii="Times New Roman" w:hAnsi="Times New Roman" w:cs="Times New Roman"/>
              </w:rPr>
            </w:pPr>
            <w:r>
              <w:rPr>
                <w:rStyle w:val="Grietas"/>
                <w:rFonts w:ascii="Times New Roman" w:hAnsi="Times New Roman" w:cs="Times New Roman"/>
                <w:color w:val="333333"/>
                <w:bdr w:val="none" w:sz="0" w:space="0" w:color="auto" w:frame="1"/>
              </w:rPr>
              <w:t xml:space="preserve">     </w:t>
            </w:r>
            <w:r w:rsidRPr="0000145C">
              <w:rPr>
                <w:rStyle w:val="Grietas"/>
                <w:rFonts w:ascii="Times New Roman" w:hAnsi="Times New Roman" w:cs="Times New Roman"/>
                <w:color w:val="333333"/>
                <w:bdr w:val="none" w:sz="0" w:space="0" w:color="auto" w:frame="1"/>
              </w:rPr>
              <w:t>Įmonės, turinčios patvirtintas trumpesnio kaip 12 mėnesių laikotarpio finansines ataskaitas ar kitus finansinius dokumentus</w:t>
            </w:r>
            <w:r w:rsidRPr="0000145C">
              <w:rPr>
                <w:rFonts w:ascii="Times New Roman" w:hAnsi="Times New Roman" w:cs="Times New Roman"/>
                <w:color w:val="333333"/>
              </w:rPr>
              <w:t>, ir naujos įsteigtos įmonės, kurios metinės finansinės ataskaitos, metinės konsoliduotosios finansinės ataskaitos ar kiti finansiniai dokumentai dar nėra patvir</w:t>
            </w:r>
            <w:r w:rsidRPr="0000145C">
              <w:rPr>
                <w:rFonts w:ascii="Times New Roman" w:hAnsi="Times New Roman" w:cs="Times New Roman"/>
                <w:color w:val="333333"/>
              </w:rPr>
              <w:t>tinti, vidutinėms, mažoms arba l</w:t>
            </w:r>
            <w:r w:rsidRPr="0000145C">
              <w:rPr>
                <w:rFonts w:ascii="Times New Roman" w:hAnsi="Times New Roman" w:cs="Times New Roman"/>
                <w:color w:val="333333"/>
              </w:rPr>
              <w:t>abai mažoms įmonėms nustatytų sąlygų atitiktis nustatoma pagal vidutinį metinį darbuotojų skaičių, finansinius duomenis (pasirinktinai – balanse nurodyto turto vertę arba metines pajamas) nuo įmonės įregistravimo Juridinių asmenų registre ir planuojamus finansinių metų duomenis. </w:t>
            </w:r>
          </w:p>
        </w:tc>
      </w:tr>
      <w:tr w:rsidR="00596D7F" w:rsidRPr="0000145C" w:rsidTr="00596D7F">
        <w:tc>
          <w:tcPr>
            <w:tcW w:w="1838" w:type="dxa"/>
            <w:shd w:val="clear" w:color="auto" w:fill="FFFFFF" w:themeFill="background1"/>
            <w:vAlign w:val="center"/>
          </w:tcPr>
          <w:p w:rsidR="00852F01" w:rsidRPr="00596D7F" w:rsidRDefault="00596D7F" w:rsidP="00852F01">
            <w:pPr>
              <w:rPr>
                <w:rFonts w:ascii="Times New Roman" w:hAnsi="Times New Roman" w:cs="Times New Roman"/>
              </w:rPr>
            </w:pPr>
            <w:r w:rsidRPr="00596D7F">
              <w:rPr>
                <w:rFonts w:ascii="Times New Roman" w:hAnsi="Times New Roman" w:cs="Times New Roman"/>
                <w:color w:val="333333"/>
              </w:rPr>
              <w:t>į</w:t>
            </w:r>
            <w:r w:rsidRPr="00596D7F">
              <w:rPr>
                <w:rFonts w:ascii="Times New Roman" w:hAnsi="Times New Roman" w:cs="Times New Roman"/>
                <w:color w:val="333333"/>
              </w:rPr>
              <w:t>monės balanse nurodyto turto vertė</w:t>
            </w:r>
            <w:r>
              <w:rPr>
                <w:rFonts w:ascii="Times New Roman" w:hAnsi="Times New Roman" w:cs="Times New Roman"/>
                <w:color w:val="333333"/>
              </w:rPr>
              <w:t xml:space="preserve"> </w:t>
            </w:r>
            <w:r w:rsidRPr="00596D7F">
              <w:rPr>
                <w:rFonts w:ascii="Times New Roman" w:hAnsi="Times New Roman" w:cs="Times New Roman"/>
                <w:color w:val="333333"/>
              </w:rPr>
              <w:t>neviršija </w:t>
            </w:r>
            <w:r w:rsidRPr="00596D7F">
              <w:rPr>
                <w:rStyle w:val="Grietas"/>
                <w:rFonts w:ascii="Times New Roman" w:hAnsi="Times New Roman" w:cs="Times New Roman"/>
                <w:color w:val="333333"/>
                <w:bdr w:val="none" w:sz="0" w:space="0" w:color="auto" w:frame="1"/>
              </w:rPr>
              <w:t>43 mln. eurų.</w:t>
            </w:r>
          </w:p>
        </w:tc>
        <w:tc>
          <w:tcPr>
            <w:tcW w:w="1843" w:type="dxa"/>
            <w:shd w:val="clear" w:color="auto" w:fill="FFFFFF" w:themeFill="background1"/>
            <w:vAlign w:val="center"/>
          </w:tcPr>
          <w:p w:rsidR="00852F01" w:rsidRPr="00596D7F" w:rsidRDefault="00596D7F" w:rsidP="00852F01">
            <w:pPr>
              <w:rPr>
                <w:rFonts w:ascii="Times New Roman" w:hAnsi="Times New Roman" w:cs="Times New Roman"/>
              </w:rPr>
            </w:pPr>
            <w:r w:rsidRPr="00596D7F">
              <w:rPr>
                <w:rFonts w:ascii="Times New Roman" w:hAnsi="Times New Roman" w:cs="Times New Roman"/>
                <w:color w:val="333333"/>
              </w:rPr>
              <w:t>įmonės balanse nurodyto turto vertė neviršija </w:t>
            </w:r>
            <w:r w:rsidRPr="00596D7F">
              <w:rPr>
                <w:rStyle w:val="Grietas"/>
                <w:rFonts w:ascii="Times New Roman" w:hAnsi="Times New Roman" w:cs="Times New Roman"/>
                <w:color w:val="333333"/>
                <w:bdr w:val="none" w:sz="0" w:space="0" w:color="auto" w:frame="1"/>
              </w:rPr>
              <w:t>10 mln. eurų.</w:t>
            </w:r>
          </w:p>
        </w:tc>
        <w:tc>
          <w:tcPr>
            <w:tcW w:w="1701" w:type="dxa"/>
            <w:shd w:val="clear" w:color="auto" w:fill="FFFFFF" w:themeFill="background1"/>
            <w:vAlign w:val="center"/>
          </w:tcPr>
          <w:p w:rsidR="00852F01" w:rsidRPr="00596D7F" w:rsidRDefault="00596D7F" w:rsidP="00852F01">
            <w:pPr>
              <w:rPr>
                <w:rFonts w:ascii="Times New Roman" w:hAnsi="Times New Roman" w:cs="Times New Roman"/>
              </w:rPr>
            </w:pPr>
            <w:r w:rsidRPr="00596D7F">
              <w:rPr>
                <w:rFonts w:ascii="Times New Roman" w:hAnsi="Times New Roman" w:cs="Times New Roman"/>
                <w:color w:val="333333"/>
              </w:rPr>
              <w:t> įmonės balanse nurodyto turto vertė neviršija </w:t>
            </w:r>
            <w:r w:rsidRPr="00596D7F">
              <w:rPr>
                <w:rStyle w:val="Grietas"/>
                <w:rFonts w:ascii="Times New Roman" w:hAnsi="Times New Roman" w:cs="Times New Roman"/>
                <w:color w:val="333333"/>
                <w:bdr w:val="none" w:sz="0" w:space="0" w:color="auto" w:frame="1"/>
              </w:rPr>
              <w:t>2 mln. eurų.</w:t>
            </w:r>
          </w:p>
        </w:tc>
        <w:tc>
          <w:tcPr>
            <w:tcW w:w="9072" w:type="dxa"/>
          </w:tcPr>
          <w:p w:rsidR="00852F01" w:rsidRPr="0000145C" w:rsidRDefault="00852F01" w:rsidP="00852F01">
            <w:pPr>
              <w:rPr>
                <w:rFonts w:ascii="Times New Roman" w:hAnsi="Times New Roman" w:cs="Times New Roman"/>
              </w:rPr>
            </w:pPr>
          </w:p>
        </w:tc>
      </w:tr>
      <w:tr w:rsidR="00596D7F" w:rsidRPr="0000145C" w:rsidTr="00596D7F">
        <w:tc>
          <w:tcPr>
            <w:tcW w:w="14454" w:type="dxa"/>
            <w:gridSpan w:val="4"/>
            <w:shd w:val="clear" w:color="auto" w:fill="auto"/>
            <w:vAlign w:val="center"/>
          </w:tcPr>
          <w:p w:rsidR="00596D7F" w:rsidRPr="00596D7F" w:rsidRDefault="00596D7F" w:rsidP="00596D7F">
            <w:pPr>
              <w:jc w:val="both"/>
              <w:rPr>
                <w:rFonts w:ascii="Times New Roman" w:hAnsi="Times New Roman" w:cs="Times New Roman"/>
              </w:rPr>
            </w:pPr>
            <w:r w:rsidRPr="00596D7F">
              <w:rPr>
                <w:rFonts w:ascii="Times New Roman" w:hAnsi="Times New Roman" w:cs="Times New Roman"/>
                <w:color w:val="333333"/>
              </w:rPr>
              <w:t>Įmonė nepriskiriama vidutinei, mažai ar labai mažai įmonei, jeigu 25 procentus ir daugiau įmonės akcijų, pajų ar kitokių dalyvavimą įmonės kapitale žyminčių kapitalo dalių arba 25 procentus ir daugiau įmonės dalyvių balsų tiesiogiai ar netiesiogiai (pagal balsavimo sutartį, balsavimo teisės perleidimo sutartį, įgaliojimą ir pan.) atskirai arba kartu turi valstybė ir (ar) savivaldybė, išskyrus atvejus, kai ne mažiau kaip 25 ir ne daugiau kaip 50 procentų įmonės akcijų, pajų ar kitokių dalyvavimą įmonės kapitale žyminčių kapitalo dalių arba ne mažiau kaip 25 ir ne daugiau kaip 50 procentų visų įmonės dalyvių balsų tiesiogiai ar netiesiogiai (pagal balsavimo sutartį, balsavimo teisės perleidimo sutartį, įgaliojimą ir pan.) turi šio straipsnio 15 dalies 1–4 punktuose nurodyti investuotojai.</w:t>
            </w:r>
          </w:p>
        </w:tc>
      </w:tr>
    </w:tbl>
    <w:p w:rsidR="002B4C4A" w:rsidRPr="00852F01" w:rsidRDefault="002B4C4A" w:rsidP="00852F01"/>
    <w:sectPr w:rsidR="002B4C4A" w:rsidRPr="00852F01" w:rsidSect="0000145C">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213B" w:rsidRDefault="008F213B" w:rsidP="00596D7F">
      <w:pPr>
        <w:spacing w:after="0" w:line="240" w:lineRule="auto"/>
      </w:pPr>
      <w:r>
        <w:separator/>
      </w:r>
    </w:p>
  </w:endnote>
  <w:endnote w:type="continuationSeparator" w:id="0">
    <w:p w:rsidR="008F213B" w:rsidRDefault="008F213B" w:rsidP="00596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20002A87" w:usb1="80000000" w:usb2="00000008"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A00002EF" w:usb1="4000207B" w:usb2="00000000" w:usb3="00000000" w:csb0="0000019F" w:csb1="00000000"/>
  </w:font>
  <w:font w:name="Segoe UI">
    <w:panose1 w:val="020B0502040204020203"/>
    <w:charset w:val="BA"/>
    <w:family w:val="swiss"/>
    <w:pitch w:val="variable"/>
    <w:sig w:usb0="E10022FF" w:usb1="C000E47F" w:usb2="00000029" w:usb3="00000000" w:csb0="000001D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213B" w:rsidRDefault="008F213B" w:rsidP="00596D7F">
      <w:pPr>
        <w:spacing w:after="0" w:line="240" w:lineRule="auto"/>
      </w:pPr>
      <w:r>
        <w:separator/>
      </w:r>
    </w:p>
  </w:footnote>
  <w:footnote w:type="continuationSeparator" w:id="0">
    <w:p w:rsidR="008F213B" w:rsidRDefault="008F213B" w:rsidP="00596D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50516"/>
    <w:multiLevelType w:val="multilevel"/>
    <w:tmpl w:val="86B68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F01"/>
    <w:rsid w:val="0000145C"/>
    <w:rsid w:val="002B4C4A"/>
    <w:rsid w:val="00596D7F"/>
    <w:rsid w:val="00852F01"/>
    <w:rsid w:val="008F213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6DCEF"/>
  <w15:chartTrackingRefBased/>
  <w15:docId w15:val="{4ECA71FE-0DA7-44C9-A2A4-7DB027DBA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2">
    <w:name w:val="heading 2"/>
    <w:basedOn w:val="prastasis"/>
    <w:link w:val="Antrat2Diagrama"/>
    <w:uiPriority w:val="9"/>
    <w:qFormat/>
    <w:rsid w:val="00852F01"/>
    <w:pPr>
      <w:spacing w:before="100" w:beforeAutospacing="1" w:after="100" w:afterAutospacing="1" w:line="240" w:lineRule="auto"/>
      <w:outlineLvl w:val="1"/>
    </w:pPr>
    <w:rPr>
      <w:rFonts w:ascii="Times New Roman" w:eastAsia="Times New Roman" w:hAnsi="Times New Roman" w:cs="Times New Roman"/>
      <w:b/>
      <w:bCs/>
      <w:sz w:val="36"/>
      <w:szCs w:val="3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rsid w:val="00852F01"/>
    <w:rPr>
      <w:rFonts w:ascii="Times New Roman" w:eastAsia="Times New Roman" w:hAnsi="Times New Roman" w:cs="Times New Roman"/>
      <w:b/>
      <w:bCs/>
      <w:sz w:val="36"/>
      <w:szCs w:val="36"/>
      <w:lang w:eastAsia="lt-LT"/>
    </w:rPr>
  </w:style>
  <w:style w:type="character" w:styleId="Hipersaitas">
    <w:name w:val="Hyperlink"/>
    <w:basedOn w:val="Numatytasispastraiposriftas"/>
    <w:uiPriority w:val="99"/>
    <w:semiHidden/>
    <w:unhideWhenUsed/>
    <w:rsid w:val="00852F01"/>
    <w:rPr>
      <w:color w:val="0000FF"/>
      <w:u w:val="single"/>
    </w:rPr>
  </w:style>
  <w:style w:type="character" w:styleId="Grietas">
    <w:name w:val="Strong"/>
    <w:basedOn w:val="Numatytasispastraiposriftas"/>
    <w:uiPriority w:val="22"/>
    <w:qFormat/>
    <w:rsid w:val="00852F01"/>
    <w:rPr>
      <w:b/>
      <w:bCs/>
    </w:rPr>
  </w:style>
  <w:style w:type="paragraph" w:styleId="prastasiniatinklio">
    <w:name w:val="Normal (Web)"/>
    <w:basedOn w:val="prastasis"/>
    <w:uiPriority w:val="99"/>
    <w:semiHidden/>
    <w:unhideWhenUsed/>
    <w:rsid w:val="00852F01"/>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852F0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52F01"/>
    <w:rPr>
      <w:rFonts w:ascii="Segoe UI" w:hAnsi="Segoe UI" w:cs="Segoe UI"/>
      <w:sz w:val="18"/>
      <w:szCs w:val="18"/>
    </w:rPr>
  </w:style>
  <w:style w:type="table" w:styleId="Lentelstinklelis">
    <w:name w:val="Table Grid"/>
    <w:basedOn w:val="prastojilentel"/>
    <w:uiPriority w:val="39"/>
    <w:rsid w:val="00852F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paprastojilentel">
    <w:name w:val="Plain Table 4"/>
    <w:basedOn w:val="prastojilentel"/>
    <w:uiPriority w:val="44"/>
    <w:rsid w:val="00852F0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ntrats">
    <w:name w:val="header"/>
    <w:basedOn w:val="prastasis"/>
    <w:link w:val="AntratsDiagrama"/>
    <w:uiPriority w:val="99"/>
    <w:unhideWhenUsed/>
    <w:rsid w:val="00596D7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96D7F"/>
  </w:style>
  <w:style w:type="paragraph" w:styleId="Porat">
    <w:name w:val="footer"/>
    <w:basedOn w:val="prastasis"/>
    <w:link w:val="PoratDiagrama"/>
    <w:uiPriority w:val="99"/>
    <w:unhideWhenUsed/>
    <w:rsid w:val="00596D7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96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7951262">
      <w:bodyDiv w:val="1"/>
      <w:marLeft w:val="0"/>
      <w:marRight w:val="0"/>
      <w:marTop w:val="0"/>
      <w:marBottom w:val="0"/>
      <w:divBdr>
        <w:top w:val="none" w:sz="0" w:space="0" w:color="auto"/>
        <w:left w:val="none" w:sz="0" w:space="0" w:color="auto"/>
        <w:bottom w:val="none" w:sz="0" w:space="0" w:color="auto"/>
        <w:right w:val="none" w:sz="0" w:space="0" w:color="auto"/>
      </w:divBdr>
      <w:divsChild>
        <w:div w:id="31882696">
          <w:marLeft w:val="0"/>
          <w:marRight w:val="0"/>
          <w:marTop w:val="0"/>
          <w:marBottom w:val="0"/>
          <w:divBdr>
            <w:top w:val="none" w:sz="0" w:space="0" w:color="auto"/>
            <w:left w:val="none" w:sz="0" w:space="0" w:color="auto"/>
            <w:bottom w:val="none" w:sz="0" w:space="0" w:color="auto"/>
            <w:right w:val="none" w:sz="0" w:space="0" w:color="auto"/>
          </w:divBdr>
          <w:divsChild>
            <w:div w:id="764614681">
              <w:marLeft w:val="0"/>
              <w:marRight w:val="0"/>
              <w:marTop w:val="0"/>
              <w:marBottom w:val="0"/>
              <w:divBdr>
                <w:top w:val="none" w:sz="0" w:space="0" w:color="auto"/>
                <w:left w:val="none" w:sz="0" w:space="0" w:color="auto"/>
                <w:bottom w:val="none" w:sz="0" w:space="0" w:color="auto"/>
                <w:right w:val="none" w:sz="0" w:space="0" w:color="auto"/>
              </w:divBdr>
              <w:divsChild>
                <w:div w:id="1560284789">
                  <w:marLeft w:val="60"/>
                  <w:marRight w:val="0"/>
                  <w:marTop w:val="0"/>
                  <w:marBottom w:val="0"/>
                  <w:divBdr>
                    <w:top w:val="none" w:sz="0" w:space="0" w:color="auto"/>
                    <w:left w:val="none" w:sz="0" w:space="0" w:color="auto"/>
                    <w:bottom w:val="none" w:sz="0" w:space="0" w:color="auto"/>
                    <w:right w:val="none" w:sz="0" w:space="0" w:color="auto"/>
                  </w:divBdr>
                  <w:divsChild>
                    <w:div w:id="1065909242">
                      <w:marLeft w:val="0"/>
                      <w:marRight w:val="0"/>
                      <w:marTop w:val="0"/>
                      <w:marBottom w:val="240"/>
                      <w:divBdr>
                        <w:top w:val="none" w:sz="0" w:space="0" w:color="auto"/>
                        <w:left w:val="none" w:sz="0" w:space="0" w:color="auto"/>
                        <w:bottom w:val="single" w:sz="6" w:space="3" w:color="CCCED4"/>
                        <w:right w:val="none" w:sz="0" w:space="0" w:color="auto"/>
                      </w:divBdr>
                      <w:divsChild>
                        <w:div w:id="197621745">
                          <w:marLeft w:val="0"/>
                          <w:marRight w:val="0"/>
                          <w:marTop w:val="0"/>
                          <w:marBottom w:val="120"/>
                          <w:divBdr>
                            <w:top w:val="none" w:sz="0" w:space="0" w:color="auto"/>
                            <w:left w:val="none" w:sz="0" w:space="0" w:color="auto"/>
                            <w:bottom w:val="none" w:sz="0" w:space="0" w:color="auto"/>
                            <w:right w:val="none" w:sz="0" w:space="0" w:color="auto"/>
                          </w:divBdr>
                          <w:divsChild>
                            <w:div w:id="504705044">
                              <w:marLeft w:val="0"/>
                              <w:marRight w:val="0"/>
                              <w:marTop w:val="0"/>
                              <w:marBottom w:val="0"/>
                              <w:divBdr>
                                <w:top w:val="none" w:sz="0" w:space="0" w:color="auto"/>
                                <w:left w:val="none" w:sz="0" w:space="0" w:color="auto"/>
                                <w:bottom w:val="none" w:sz="0" w:space="0" w:color="auto"/>
                                <w:right w:val="none" w:sz="0" w:space="0" w:color="auto"/>
                              </w:divBdr>
                            </w:div>
                          </w:divsChild>
                        </w:div>
                        <w:div w:id="1400791615">
                          <w:marLeft w:val="0"/>
                          <w:marRight w:val="0"/>
                          <w:marTop w:val="0"/>
                          <w:marBottom w:val="120"/>
                          <w:divBdr>
                            <w:top w:val="none" w:sz="0" w:space="0" w:color="auto"/>
                            <w:left w:val="none" w:sz="0" w:space="0" w:color="auto"/>
                            <w:bottom w:val="none" w:sz="0" w:space="0" w:color="auto"/>
                            <w:right w:val="none" w:sz="0" w:space="0" w:color="auto"/>
                          </w:divBdr>
                          <w:divsChild>
                            <w:div w:id="20327519">
                              <w:marLeft w:val="0"/>
                              <w:marRight w:val="0"/>
                              <w:marTop w:val="0"/>
                              <w:marBottom w:val="0"/>
                              <w:divBdr>
                                <w:top w:val="none" w:sz="0" w:space="0" w:color="auto"/>
                                <w:left w:val="none" w:sz="0" w:space="0" w:color="auto"/>
                                <w:bottom w:val="none" w:sz="0" w:space="0" w:color="auto"/>
                                <w:right w:val="none" w:sz="0" w:space="0" w:color="auto"/>
                              </w:divBdr>
                              <w:divsChild>
                                <w:div w:id="238515749">
                                  <w:marLeft w:val="0"/>
                                  <w:marRight w:val="0"/>
                                  <w:marTop w:val="0"/>
                                  <w:marBottom w:val="0"/>
                                  <w:divBdr>
                                    <w:top w:val="single" w:sz="6" w:space="4" w:color="CCCCCC"/>
                                    <w:left w:val="single" w:sz="6" w:space="8" w:color="CCCCCC"/>
                                    <w:bottom w:val="single" w:sz="6" w:space="4" w:color="CCCCCC"/>
                                    <w:right w:val="single" w:sz="6" w:space="8" w:color="CCCCCC"/>
                                  </w:divBdr>
                                </w:div>
                                <w:div w:id="50737366">
                                  <w:marLeft w:val="0"/>
                                  <w:marRight w:val="0"/>
                                  <w:marTop w:val="0"/>
                                  <w:marBottom w:val="0"/>
                                  <w:divBdr>
                                    <w:top w:val="single" w:sz="6" w:space="4" w:color="CCCCCC"/>
                                    <w:left w:val="single" w:sz="6" w:space="8" w:color="CCCCCC"/>
                                    <w:bottom w:val="single" w:sz="6" w:space="4" w:color="CCCCCC"/>
                                    <w:right w:val="single" w:sz="6" w:space="8" w:color="CCCCCC"/>
                                  </w:divBdr>
                                </w:div>
                                <w:div w:id="551041922">
                                  <w:marLeft w:val="0"/>
                                  <w:marRight w:val="0"/>
                                  <w:marTop w:val="0"/>
                                  <w:marBottom w:val="0"/>
                                  <w:divBdr>
                                    <w:top w:val="single" w:sz="6" w:space="4" w:color="CCCCCC"/>
                                    <w:left w:val="single" w:sz="6" w:space="8" w:color="CCCCCC"/>
                                    <w:bottom w:val="single" w:sz="6" w:space="4" w:color="CCCCCC"/>
                                    <w:right w:val="single" w:sz="6" w:space="8" w:color="CCCCCC"/>
                                  </w:divBdr>
                                </w:div>
                                <w:div w:id="372583056">
                                  <w:marLeft w:val="0"/>
                                  <w:marRight w:val="0"/>
                                  <w:marTop w:val="0"/>
                                  <w:marBottom w:val="0"/>
                                  <w:divBdr>
                                    <w:top w:val="single" w:sz="6" w:space="4" w:color="CCCCCC"/>
                                    <w:left w:val="single" w:sz="6" w:space="8" w:color="CCCCCC"/>
                                    <w:bottom w:val="single" w:sz="6" w:space="4" w:color="CCCCCC"/>
                                    <w:right w:val="single" w:sz="6" w:space="8" w:color="CCCCCC"/>
                                  </w:divBdr>
                                </w:div>
                                <w:div w:id="1707412167">
                                  <w:marLeft w:val="0"/>
                                  <w:marRight w:val="0"/>
                                  <w:marTop w:val="0"/>
                                  <w:marBottom w:val="0"/>
                                  <w:divBdr>
                                    <w:top w:val="single" w:sz="6" w:space="4" w:color="CCCCCC"/>
                                    <w:left w:val="single" w:sz="6" w:space="8" w:color="CCCCCC"/>
                                    <w:bottom w:val="single" w:sz="6" w:space="4" w:color="CCCCCC"/>
                                    <w:right w:val="single" w:sz="6" w:space="8" w:color="CCCCCC"/>
                                  </w:divBdr>
                                </w:div>
                                <w:div w:id="2112236756">
                                  <w:marLeft w:val="0"/>
                                  <w:marRight w:val="0"/>
                                  <w:marTop w:val="0"/>
                                  <w:marBottom w:val="0"/>
                                  <w:divBdr>
                                    <w:top w:val="single" w:sz="6" w:space="4" w:color="CCCCCC"/>
                                    <w:left w:val="single" w:sz="6" w:space="8" w:color="CCCCCC"/>
                                    <w:bottom w:val="single" w:sz="6" w:space="4" w:color="CCCCCC"/>
                                    <w:right w:val="single" w:sz="6" w:space="8" w:color="CCCCCC"/>
                                  </w:divBdr>
                                </w:div>
                                <w:div w:id="1669016674">
                                  <w:marLeft w:val="0"/>
                                  <w:marRight w:val="0"/>
                                  <w:marTop w:val="0"/>
                                  <w:marBottom w:val="0"/>
                                  <w:divBdr>
                                    <w:top w:val="single" w:sz="6" w:space="4" w:color="CCCCCC"/>
                                    <w:left w:val="single" w:sz="6" w:space="8" w:color="CCCCCC"/>
                                    <w:bottom w:val="single" w:sz="6" w:space="4" w:color="CCCCCC"/>
                                    <w:right w:val="single" w:sz="6" w:space="8" w:color="CCCCCC"/>
                                  </w:divBdr>
                                </w:div>
                                <w:div w:id="998725375">
                                  <w:marLeft w:val="0"/>
                                  <w:marRight w:val="0"/>
                                  <w:marTop w:val="0"/>
                                  <w:marBottom w:val="0"/>
                                  <w:divBdr>
                                    <w:top w:val="single" w:sz="6" w:space="4" w:color="CCCCCC"/>
                                    <w:left w:val="single" w:sz="6" w:space="8" w:color="CCCCCC"/>
                                    <w:bottom w:val="single" w:sz="6" w:space="4" w:color="CCCCCC"/>
                                    <w:right w:val="single" w:sz="6" w:space="8" w:color="CCCCCC"/>
                                  </w:divBdr>
                                </w:div>
                                <w:div w:id="386801470">
                                  <w:marLeft w:val="0"/>
                                  <w:marRight w:val="0"/>
                                  <w:marTop w:val="0"/>
                                  <w:marBottom w:val="0"/>
                                  <w:divBdr>
                                    <w:top w:val="single" w:sz="6" w:space="4" w:color="CCCCCC"/>
                                    <w:left w:val="single" w:sz="6" w:space="8" w:color="CCCCCC"/>
                                    <w:bottom w:val="single" w:sz="6" w:space="4" w:color="CCCCCC"/>
                                    <w:right w:val="single" w:sz="6" w:space="8" w:color="CCCCCC"/>
                                  </w:divBdr>
                                </w:div>
                                <w:div w:id="784352285">
                                  <w:marLeft w:val="0"/>
                                  <w:marRight w:val="0"/>
                                  <w:marTop w:val="0"/>
                                  <w:marBottom w:val="0"/>
                                  <w:divBdr>
                                    <w:top w:val="single" w:sz="6" w:space="4" w:color="CCCCCC"/>
                                    <w:left w:val="single" w:sz="6" w:space="8" w:color="CCCCCC"/>
                                    <w:bottom w:val="single" w:sz="6" w:space="4" w:color="CCCCCC"/>
                                    <w:right w:val="single" w:sz="6" w:space="8" w:color="CCCCCC"/>
                                  </w:divBdr>
                                </w:div>
                                <w:div w:id="680591405">
                                  <w:marLeft w:val="0"/>
                                  <w:marRight w:val="0"/>
                                  <w:marTop w:val="0"/>
                                  <w:marBottom w:val="0"/>
                                  <w:divBdr>
                                    <w:top w:val="single" w:sz="6" w:space="4" w:color="CCCCCC"/>
                                    <w:left w:val="single" w:sz="6" w:space="8" w:color="CCCCCC"/>
                                    <w:bottom w:val="single" w:sz="6" w:space="4" w:color="CCCCCC"/>
                                    <w:right w:val="single" w:sz="6" w:space="8" w:color="CCCCCC"/>
                                  </w:divBdr>
                                </w:div>
                                <w:div w:id="1395660925">
                                  <w:marLeft w:val="0"/>
                                  <w:marRight w:val="0"/>
                                  <w:marTop w:val="0"/>
                                  <w:marBottom w:val="0"/>
                                  <w:divBdr>
                                    <w:top w:val="single" w:sz="6" w:space="4" w:color="CCCCCC"/>
                                    <w:left w:val="single" w:sz="6" w:space="8" w:color="CCCCCC"/>
                                    <w:bottom w:val="single" w:sz="6" w:space="4" w:color="CCCCCC"/>
                                    <w:right w:val="single" w:sz="6" w:space="8" w:color="CCCCCC"/>
                                  </w:divBdr>
                                </w:div>
                                <w:div w:id="262418321">
                                  <w:marLeft w:val="0"/>
                                  <w:marRight w:val="0"/>
                                  <w:marTop w:val="0"/>
                                  <w:marBottom w:val="0"/>
                                  <w:divBdr>
                                    <w:top w:val="single" w:sz="6" w:space="4" w:color="CCCCCC"/>
                                    <w:left w:val="single" w:sz="6" w:space="8" w:color="CCCCCC"/>
                                    <w:bottom w:val="single" w:sz="6" w:space="4" w:color="CCCCCC"/>
                                    <w:right w:val="single" w:sz="6" w:space="8" w:color="CCCCCC"/>
                                  </w:divBdr>
                                </w:div>
                                <w:div w:id="1908370702">
                                  <w:marLeft w:val="0"/>
                                  <w:marRight w:val="0"/>
                                  <w:marTop w:val="0"/>
                                  <w:marBottom w:val="0"/>
                                  <w:divBdr>
                                    <w:top w:val="single" w:sz="6" w:space="4" w:color="CCCCCC"/>
                                    <w:left w:val="single" w:sz="6" w:space="8" w:color="CCCCCC"/>
                                    <w:bottom w:val="single" w:sz="6" w:space="4" w:color="CCCCCC"/>
                                    <w:right w:val="single" w:sz="6" w:space="8" w:color="CCCCCC"/>
                                  </w:divBdr>
                                </w:div>
                                <w:div w:id="1839273320">
                                  <w:marLeft w:val="0"/>
                                  <w:marRight w:val="0"/>
                                  <w:marTop w:val="0"/>
                                  <w:marBottom w:val="0"/>
                                  <w:divBdr>
                                    <w:top w:val="single" w:sz="6" w:space="4" w:color="CCCCCC"/>
                                    <w:left w:val="single" w:sz="6" w:space="8" w:color="CCCCCC"/>
                                    <w:bottom w:val="single" w:sz="6" w:space="4" w:color="CCCCCC"/>
                                    <w:right w:val="single" w:sz="6" w:space="8" w:color="CCCCCC"/>
                                  </w:divBdr>
                                </w:div>
                                <w:div w:id="1286429738">
                                  <w:marLeft w:val="0"/>
                                  <w:marRight w:val="0"/>
                                  <w:marTop w:val="0"/>
                                  <w:marBottom w:val="0"/>
                                  <w:divBdr>
                                    <w:top w:val="single" w:sz="6" w:space="4" w:color="CCCCCC"/>
                                    <w:left w:val="single" w:sz="6" w:space="8" w:color="CCCCCC"/>
                                    <w:bottom w:val="single" w:sz="6" w:space="4" w:color="CCCCCC"/>
                                    <w:right w:val="single" w:sz="6" w:space="8" w:color="CCCCCC"/>
                                  </w:divBdr>
                                </w:div>
                              </w:divsChild>
                            </w:div>
                          </w:divsChild>
                        </w:div>
                      </w:divsChild>
                    </w:div>
                  </w:divsChild>
                </w:div>
              </w:divsChild>
            </w:div>
          </w:divsChild>
        </w:div>
        <w:div w:id="1916552596">
          <w:marLeft w:val="285"/>
          <w:marRight w:val="0"/>
          <w:marTop w:val="0"/>
          <w:marBottom w:val="0"/>
          <w:divBdr>
            <w:top w:val="none" w:sz="0" w:space="0" w:color="auto"/>
            <w:left w:val="none" w:sz="0" w:space="0" w:color="auto"/>
            <w:bottom w:val="none" w:sz="0" w:space="0" w:color="auto"/>
            <w:right w:val="none" w:sz="0" w:space="0" w:color="auto"/>
          </w:divBdr>
          <w:divsChild>
            <w:div w:id="1218052715">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69CE5-27FA-4FBA-879F-26FA85974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1930</Words>
  <Characters>1101</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dc:creator>
  <cp:keywords/>
  <dc:description/>
  <cp:lastModifiedBy>Violeta</cp:lastModifiedBy>
  <cp:revision>2</cp:revision>
  <dcterms:created xsi:type="dcterms:W3CDTF">2017-10-06T11:04:00Z</dcterms:created>
  <dcterms:modified xsi:type="dcterms:W3CDTF">2017-10-06T11:25:00Z</dcterms:modified>
</cp:coreProperties>
</file>