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A" w:rsidRPr="00573099" w:rsidRDefault="00F53B1A" w:rsidP="001D6399">
      <w:pPr>
        <w:pStyle w:val="Porat"/>
        <w:tabs>
          <w:tab w:val="clear" w:pos="8306"/>
        </w:tabs>
        <w:autoSpaceDE w:val="0"/>
        <w:autoSpaceDN w:val="0"/>
        <w:adjustRightInd w:val="0"/>
        <w:ind w:left="5670"/>
        <w:rPr>
          <w:lang w:val="lt-LT"/>
        </w:rPr>
      </w:pPr>
      <w:r w:rsidRPr="00573099">
        <w:rPr>
          <w:lang w:val="lt-LT"/>
        </w:rPr>
        <w:t>PATVIRTINTA</w:t>
      </w:r>
    </w:p>
    <w:p w:rsidR="00F53B1A" w:rsidRPr="00573099" w:rsidRDefault="001D6399" w:rsidP="001D6399">
      <w:pPr>
        <w:pStyle w:val="Porat"/>
        <w:tabs>
          <w:tab w:val="clear" w:pos="8306"/>
        </w:tabs>
        <w:autoSpaceDE w:val="0"/>
        <w:autoSpaceDN w:val="0"/>
        <w:adjustRightInd w:val="0"/>
        <w:ind w:left="5670"/>
        <w:rPr>
          <w:lang w:val="lt-LT"/>
        </w:rPr>
      </w:pPr>
      <w:r w:rsidRPr="001D6399">
        <w:rPr>
          <w:lang w:val="lt-LT"/>
        </w:rPr>
        <w:t>Švenčionių rajono vietos veiklos grupės „Švenčionių partnerystė“ valdybos</w:t>
      </w:r>
      <w:r>
        <w:rPr>
          <w:b/>
          <w:i/>
          <w:lang w:val="lt-LT"/>
        </w:rPr>
        <w:t xml:space="preserve"> </w:t>
      </w:r>
      <w:r w:rsidR="007F2BFA">
        <w:rPr>
          <w:lang w:val="lt-LT"/>
        </w:rPr>
        <w:t>2015</w:t>
      </w:r>
      <w:r w:rsidR="00F53B1A" w:rsidRPr="00573099">
        <w:rPr>
          <w:lang w:val="lt-LT"/>
        </w:rPr>
        <w:t xml:space="preserve"> m. </w:t>
      </w:r>
      <w:r w:rsidR="007F2BFA">
        <w:rPr>
          <w:lang w:val="lt-LT"/>
        </w:rPr>
        <w:t>vasario mėn. 9 d. posėdžio protokolu Nr. 2</w:t>
      </w:r>
      <w:r w:rsidR="00F53B1A" w:rsidRPr="00573099">
        <w:rPr>
          <w:lang w:val="lt-LT"/>
        </w:rPr>
        <w:t xml:space="preserve"> </w:t>
      </w:r>
    </w:p>
    <w:p w:rsidR="003427E5" w:rsidRDefault="003427E5" w:rsidP="003427E5">
      <w:pPr>
        <w:jc w:val="right"/>
        <w:rPr>
          <w:b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1842"/>
        <w:gridCol w:w="1560"/>
        <w:gridCol w:w="2298"/>
      </w:tblGrid>
      <w:tr w:rsidR="00A8203B" w:rsidTr="001D6399">
        <w:trPr>
          <w:trHeight w:val="1448"/>
        </w:trPr>
        <w:tc>
          <w:tcPr>
            <w:tcW w:w="3948" w:type="dxa"/>
          </w:tcPr>
          <w:p w:rsidR="00A8203B" w:rsidRDefault="00D42A72" w:rsidP="00A8203B">
            <w:pPr>
              <w:pStyle w:val="prastasistinklapis"/>
              <w:spacing w:before="0" w:beforeAutospacing="0" w:after="0" w:afterAutospacing="0"/>
              <w:ind w:left="-120" w:right="5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8875" cy="1038225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8203B" w:rsidRDefault="00D42A72" w:rsidP="00A8203B">
            <w:pPr>
              <w:pStyle w:val="prastasistinklapis"/>
              <w:spacing w:before="0" w:beforeAutospacing="0" w:after="0" w:afterAutospacing="0"/>
              <w:ind w:left="-27" w:right="59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38225" cy="10287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8203B" w:rsidRDefault="00D42A72" w:rsidP="00A8203B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1028700"/>
                  <wp:effectExtent l="19050" t="0" r="0" b="0"/>
                  <wp:docPr id="3" name="Picture 3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vAlign w:val="center"/>
          </w:tcPr>
          <w:p w:rsidR="00A8203B" w:rsidRDefault="001D6399" w:rsidP="00657D00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19050" t="0" r="9525" b="0"/>
                  <wp:docPr id="4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6">
        <w:trPr>
          <w:trHeight w:val="513"/>
        </w:trPr>
        <w:tc>
          <w:tcPr>
            <w:tcW w:w="9648" w:type="dxa"/>
            <w:gridSpan w:val="4"/>
          </w:tcPr>
          <w:p w:rsidR="0045100B" w:rsidRDefault="0045100B" w:rsidP="00657D00">
            <w:pPr>
              <w:pStyle w:val="prastasistinklapis"/>
              <w:spacing w:before="0" w:beforeAutospacing="0" w:after="0" w:afterAutospacing="0"/>
              <w:ind w:right="59"/>
              <w:jc w:val="center"/>
              <w:rPr>
                <w:b/>
                <w:bCs/>
              </w:rPr>
            </w:pPr>
          </w:p>
          <w:p w:rsidR="00371AC6" w:rsidRDefault="00F079B8" w:rsidP="00657D00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 w:rsidRPr="00657D00">
              <w:rPr>
                <w:b/>
                <w:bCs/>
              </w:rPr>
              <w:t>KVIETIMAS TEIKTI VIETOS PROJEKTŲ PARAIŠKAS NR.</w:t>
            </w:r>
            <w:r w:rsidR="00371AC6" w:rsidRPr="00657D00">
              <w:rPr>
                <w:b/>
                <w:bCs/>
              </w:rPr>
              <w:t xml:space="preserve"> </w:t>
            </w:r>
            <w:r w:rsidR="001D6399">
              <w:rPr>
                <w:b/>
                <w:bCs/>
              </w:rPr>
              <w:t>5</w:t>
            </w:r>
          </w:p>
        </w:tc>
      </w:tr>
    </w:tbl>
    <w:p w:rsidR="00371AC6" w:rsidRDefault="00371AC6" w:rsidP="006179DF">
      <w:pPr>
        <w:pStyle w:val="prastasistinklapis"/>
        <w:spacing w:before="0" w:beforeAutospacing="0" w:after="0" w:afterAutospacing="0"/>
        <w:ind w:left="-960" w:right="59"/>
        <w:jc w:val="center"/>
      </w:pPr>
    </w:p>
    <w:p w:rsidR="003427E5" w:rsidRPr="000055E3" w:rsidRDefault="003427E5" w:rsidP="001D6399">
      <w:pPr>
        <w:pStyle w:val="prastasistinklapis"/>
        <w:spacing w:before="0" w:beforeAutospacing="0" w:after="0" w:afterAutospacing="0"/>
        <w:ind w:right="59"/>
      </w:pPr>
    </w:p>
    <w:p w:rsidR="001D6399" w:rsidRPr="00A67C14" w:rsidRDefault="001D6399" w:rsidP="001D6399">
      <w:pPr>
        <w:pStyle w:val="prastasistinklapis"/>
        <w:spacing w:before="0" w:beforeAutospacing="0" w:after="0" w:afterAutospacing="0"/>
        <w:ind w:left="-120" w:right="59"/>
        <w:jc w:val="center"/>
        <w:rPr>
          <w:b/>
          <w:u w:val="single"/>
        </w:rPr>
      </w:pPr>
      <w:r w:rsidRPr="00A67C14">
        <w:rPr>
          <w:b/>
          <w:u w:val="single"/>
        </w:rPr>
        <w:t>ŠVENČIONIŲ RAJONO VIETOS VEIKLOS GRUPĖ „ŠVENČIONIŲ PARTNERYSTĖ“</w:t>
      </w:r>
    </w:p>
    <w:p w:rsidR="001D6399" w:rsidRPr="00A67C14" w:rsidRDefault="001D6399" w:rsidP="001D6399">
      <w:pPr>
        <w:pStyle w:val="prastasistinklapis"/>
        <w:spacing w:before="0" w:beforeAutospacing="0" w:after="0" w:afterAutospacing="0"/>
        <w:ind w:left="-120" w:right="59"/>
        <w:jc w:val="center"/>
      </w:pPr>
      <w:r w:rsidRPr="00A67C14">
        <w:t>Stoties g. 4, 18123 Švenčionys, tel./faks. 8 387 54225, 8 387 51084</w:t>
      </w:r>
    </w:p>
    <w:p w:rsidR="001D6399" w:rsidRPr="00A67C14" w:rsidRDefault="001D6399" w:rsidP="001D6399">
      <w:pPr>
        <w:pStyle w:val="prastasistinklapis"/>
        <w:spacing w:before="0" w:beforeAutospacing="0" w:after="0" w:afterAutospacing="0"/>
        <w:ind w:left="-120" w:right="59"/>
        <w:jc w:val="center"/>
      </w:pPr>
      <w:r w:rsidRPr="00A67C14">
        <w:t xml:space="preserve">el.paštas: </w:t>
      </w:r>
      <w:hyperlink r:id="rId11" w:history="1">
        <w:r w:rsidRPr="00A67C14">
          <w:rPr>
            <w:rStyle w:val="Hipersaitas"/>
          </w:rPr>
          <w:t>svencioniuvvg@gmail.com</w:t>
        </w:r>
      </w:hyperlink>
    </w:p>
    <w:p w:rsidR="003427E5" w:rsidRPr="000055E3" w:rsidRDefault="003427E5" w:rsidP="00C04014">
      <w:pPr>
        <w:pStyle w:val="prastasistinklapis"/>
        <w:spacing w:before="0" w:beforeAutospacing="0" w:after="0" w:afterAutospacing="0"/>
        <w:ind w:left="-120" w:right="59"/>
        <w:jc w:val="both"/>
      </w:pPr>
    </w:p>
    <w:p w:rsidR="003427E5" w:rsidRPr="000055E3" w:rsidRDefault="003427E5" w:rsidP="00C04014">
      <w:pPr>
        <w:pStyle w:val="prastasistinklapis"/>
        <w:spacing w:before="0" w:beforeAutospacing="0" w:after="0" w:afterAutospacing="0"/>
        <w:ind w:left="-120" w:right="-322"/>
        <w:jc w:val="both"/>
      </w:pPr>
      <w:r w:rsidRPr="000055E3">
        <w:t>Kviečia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6"/>
        <w:gridCol w:w="6034"/>
      </w:tblGrid>
      <w:tr w:rsidR="003427E5" w:rsidRPr="000055E3" w:rsidTr="0045100B">
        <w:trPr>
          <w:trHeight w:val="613"/>
        </w:trPr>
        <w:tc>
          <w:tcPr>
            <w:tcW w:w="3806" w:type="dxa"/>
            <w:vAlign w:val="center"/>
          </w:tcPr>
          <w:p w:rsidR="003427E5" w:rsidRPr="000055E3" w:rsidRDefault="00492CD4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>
              <w:t>Strategijos</w:t>
            </w:r>
            <w:r w:rsidR="003427E5" w:rsidRPr="000055E3">
              <w:t xml:space="preserve"> pavadinimas</w:t>
            </w:r>
          </w:p>
        </w:tc>
        <w:tc>
          <w:tcPr>
            <w:tcW w:w="6034" w:type="dxa"/>
            <w:vAlign w:val="center"/>
          </w:tcPr>
          <w:p w:rsidR="003427E5" w:rsidRPr="000055E3" w:rsidRDefault="001D6399" w:rsidP="001D6399">
            <w:pPr>
              <w:pStyle w:val="prastasistinklapis"/>
              <w:ind w:left="-30" w:right="158"/>
              <w:jc w:val="center"/>
              <w:rPr>
                <w:i/>
              </w:rPr>
            </w:pPr>
            <w:r w:rsidRPr="00FD3AE1">
              <w:rPr>
                <w:b/>
              </w:rPr>
              <w:t>VIETOS PLĖTROS 2009 -2014 METŲ STRATEGIJA</w:t>
            </w:r>
          </w:p>
        </w:tc>
      </w:tr>
      <w:tr w:rsidR="003427E5" w:rsidRPr="000055E3" w:rsidTr="0045100B">
        <w:trPr>
          <w:trHeight w:val="693"/>
        </w:trPr>
        <w:tc>
          <w:tcPr>
            <w:tcW w:w="3806" w:type="dxa"/>
            <w:vAlign w:val="center"/>
          </w:tcPr>
          <w:p w:rsidR="003427E5" w:rsidRPr="000055E3" w:rsidRDefault="003427E5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 xml:space="preserve">Strategijos prioritetas </w:t>
            </w:r>
          </w:p>
        </w:tc>
        <w:tc>
          <w:tcPr>
            <w:tcW w:w="6034" w:type="dxa"/>
            <w:vAlign w:val="center"/>
          </w:tcPr>
          <w:p w:rsidR="003427E5" w:rsidRPr="00FA7119" w:rsidRDefault="00FA7119" w:rsidP="00FA7119">
            <w:pPr>
              <w:pStyle w:val="prastasistinklapis"/>
              <w:spacing w:before="0" w:beforeAutospacing="0" w:after="0" w:afterAutospacing="0"/>
              <w:ind w:right="159"/>
              <w:jc w:val="both"/>
            </w:pPr>
            <w:r w:rsidRPr="00FD3AE1">
              <w:rPr>
                <w:b/>
              </w:rPr>
              <w:t xml:space="preserve">I PRIORITETAS. </w:t>
            </w:r>
            <w:r w:rsidRPr="00FD3AE1">
              <w:t>VVG teritorijos verslų įvairinimas ir užimtumo gerinimas.</w:t>
            </w:r>
          </w:p>
        </w:tc>
      </w:tr>
      <w:tr w:rsidR="003427E5" w:rsidRPr="000055E3" w:rsidTr="00FA7119">
        <w:trPr>
          <w:trHeight w:val="269"/>
        </w:trPr>
        <w:tc>
          <w:tcPr>
            <w:tcW w:w="3806" w:type="dxa"/>
            <w:vAlign w:val="center"/>
          </w:tcPr>
          <w:p w:rsidR="003427E5" w:rsidRPr="000055E3" w:rsidRDefault="003427E5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Pagrindiniai Strategijos tikslai</w:t>
            </w:r>
          </w:p>
        </w:tc>
        <w:tc>
          <w:tcPr>
            <w:tcW w:w="6034" w:type="dxa"/>
          </w:tcPr>
          <w:p w:rsidR="003427E5" w:rsidRPr="000055E3" w:rsidRDefault="0045100B" w:rsidP="00FA7119">
            <w:pPr>
              <w:pStyle w:val="prastasistinklapis"/>
              <w:ind w:left="-30" w:right="158"/>
              <w:jc w:val="both"/>
              <w:rPr>
                <w:i/>
              </w:rPr>
            </w:pPr>
            <w:r>
              <w:rPr>
                <w:b/>
              </w:rPr>
              <w:t xml:space="preserve">      </w:t>
            </w:r>
            <w:r w:rsidR="00FA7119" w:rsidRPr="00FD3AE1">
              <w:rPr>
                <w:b/>
              </w:rPr>
              <w:t>Pagrindinis Švenčionių rajono VVG „Švenčionių partnerystė“ parengtos vietos plėtros strategijos tikslas</w:t>
            </w:r>
            <w:r w:rsidR="00FA7119" w:rsidRPr="00FD3AE1">
              <w:t xml:space="preserve"> – kurti patrauklią, modernią aplinką gyventi ir dirbti VVG teritorijos vietovėse, remti smulkiojo verslo iniciatyvų kūrimąsi ir plėtrą, sukuriančią naujas darbo vietas ir veiklas bei papildomų pajamų šaltinius.</w:t>
            </w:r>
          </w:p>
        </w:tc>
      </w:tr>
      <w:tr w:rsidR="003427E5" w:rsidRPr="000055E3" w:rsidTr="00FA7119">
        <w:trPr>
          <w:trHeight w:val="269"/>
        </w:trPr>
        <w:tc>
          <w:tcPr>
            <w:tcW w:w="3806" w:type="dxa"/>
            <w:vAlign w:val="center"/>
          </w:tcPr>
          <w:p w:rsidR="003427E5" w:rsidRPr="000055E3" w:rsidRDefault="003427E5" w:rsidP="0045100B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 w:rsidRPr="000055E3">
              <w:t>Strategijos remiam</w:t>
            </w:r>
            <w:r w:rsidR="00FA7119">
              <w:t>a</w:t>
            </w:r>
            <w:r w:rsidRPr="000055E3">
              <w:t xml:space="preserve"> </w:t>
            </w:r>
            <w:r w:rsidR="00FA7119">
              <w:t>priemonė</w:t>
            </w:r>
            <w:r w:rsidR="007738E8">
              <w:t xml:space="preserve">, veiklos sritis </w:t>
            </w:r>
          </w:p>
        </w:tc>
        <w:tc>
          <w:tcPr>
            <w:tcW w:w="6034" w:type="dxa"/>
          </w:tcPr>
          <w:p w:rsidR="00FA7119" w:rsidRPr="00FD3AE1" w:rsidRDefault="0045100B" w:rsidP="00FA7119">
            <w:pPr>
              <w:jc w:val="both"/>
            </w:pPr>
            <w:r>
              <w:rPr>
                <w:b/>
              </w:rPr>
              <w:t xml:space="preserve">      </w:t>
            </w:r>
            <w:r w:rsidR="00FA7119" w:rsidRPr="00FD3AE1">
              <w:rPr>
                <w:b/>
              </w:rPr>
              <w:t>I PRIORITETAS.</w:t>
            </w:r>
            <w:r w:rsidR="00FA7119" w:rsidRPr="00FD3AE1">
              <w:t xml:space="preserve"> VVG teritorijos verslų įvairinimas ir užimtumo gerinimas.</w:t>
            </w:r>
          </w:p>
          <w:p w:rsidR="00FA7119" w:rsidRPr="00FD3AE1" w:rsidRDefault="0045100B" w:rsidP="00FA7119">
            <w:pPr>
              <w:jc w:val="both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="00FA7119" w:rsidRPr="00FD3AE1">
              <w:rPr>
                <w:b/>
                <w:bCs/>
                <w:szCs w:val="22"/>
              </w:rPr>
              <w:t>1. Priemonė</w:t>
            </w:r>
            <w:r w:rsidR="00FA7119" w:rsidRPr="00FD3AE1">
              <w:rPr>
                <w:szCs w:val="22"/>
              </w:rPr>
              <w:t xml:space="preserve">. </w:t>
            </w:r>
            <w:r w:rsidR="00FA7119" w:rsidRPr="00FD3AE1">
              <w:rPr>
                <w:b/>
                <w:szCs w:val="22"/>
              </w:rPr>
              <w:t>Parama verslo kūrimui ir plėtrai / Kaimo turizmo veiklos skatinimas:</w:t>
            </w:r>
          </w:p>
          <w:p w:rsidR="00FA7119" w:rsidRPr="00FD3AE1" w:rsidRDefault="00FA7119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Ne žemės ūkio veiklos mikroįmonių plėtra;</w:t>
            </w:r>
          </w:p>
          <w:p w:rsidR="00FA7119" w:rsidRPr="00FD3AE1" w:rsidRDefault="00FA7119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Ne žemės ūkio veiklos paslaugų mikroįmonių modernizavimas;</w:t>
            </w:r>
          </w:p>
          <w:p w:rsidR="00FA7119" w:rsidRPr="00FD3AE1" w:rsidRDefault="00FA7119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Amatų centrų plėtra;</w:t>
            </w:r>
          </w:p>
          <w:p w:rsidR="00FA7119" w:rsidRPr="00FD3AE1" w:rsidRDefault="00FA7119" w:rsidP="00FA7119">
            <w:pPr>
              <w:jc w:val="both"/>
            </w:pPr>
            <w:r w:rsidRPr="00FD3AE1">
              <w:t xml:space="preserve">        1.4. Kaimo turizmo kūrimas ir plėtra, įskaitant amatų plėtrą kaimo turizmo sodybose;</w:t>
            </w:r>
          </w:p>
          <w:p w:rsidR="003427E5" w:rsidRPr="00FA7119" w:rsidRDefault="00FA7119" w:rsidP="00FA7119">
            <w:pPr>
              <w:tabs>
                <w:tab w:val="left" w:pos="892"/>
              </w:tabs>
              <w:jc w:val="both"/>
            </w:pPr>
            <w:r w:rsidRPr="00FD3AE1">
              <w:rPr>
                <w:szCs w:val="22"/>
              </w:rPr>
              <w:t xml:space="preserve">        1.5. </w:t>
            </w:r>
            <w:r w:rsidRPr="00FD3AE1">
              <w:t>Stovyklaviečių kaimo vietovėse įkūrimas ir plėtra.</w:t>
            </w:r>
          </w:p>
        </w:tc>
      </w:tr>
      <w:tr w:rsidR="00A30017" w:rsidRPr="000055E3" w:rsidTr="00113928">
        <w:trPr>
          <w:trHeight w:val="416"/>
        </w:trPr>
        <w:tc>
          <w:tcPr>
            <w:tcW w:w="3806" w:type="dxa"/>
            <w:vAlign w:val="center"/>
          </w:tcPr>
          <w:p w:rsidR="00A30017" w:rsidRPr="000055E3" w:rsidRDefault="00D14EAD" w:rsidP="0045100B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>
              <w:t>Didžiausia</w:t>
            </w:r>
            <w:r w:rsidR="00A30017" w:rsidRPr="000055E3">
              <w:t xml:space="preserve"> lėšų</w:t>
            </w:r>
            <w:r w:rsidR="007738E8">
              <w:t xml:space="preserve">, skiriamų kvietimui teikti vietos projektus, </w:t>
            </w:r>
            <w:r w:rsidR="00A30017" w:rsidRPr="000055E3">
              <w:t>suma, paramos lyginamoji dalis, išlaidų apmokėjimo būdas</w:t>
            </w:r>
          </w:p>
        </w:tc>
        <w:tc>
          <w:tcPr>
            <w:tcW w:w="6034" w:type="dxa"/>
          </w:tcPr>
          <w:p w:rsidR="00FA7119" w:rsidRPr="00C93082" w:rsidRDefault="00FA7119" w:rsidP="00FA7119">
            <w:pPr>
              <w:pStyle w:val="Betarp1"/>
              <w:jc w:val="both"/>
              <w:rPr>
                <w:rStyle w:val="num1diagrama1diagramachar"/>
                <w:b/>
                <w:i/>
                <w:szCs w:val="22"/>
              </w:rPr>
            </w:pPr>
            <w:r>
              <w:rPr>
                <w:rStyle w:val="num1diagrama1diagramachar"/>
                <w:b/>
                <w:szCs w:val="22"/>
              </w:rPr>
              <w:t xml:space="preserve">      </w:t>
            </w:r>
            <w:r w:rsidRPr="00C93082">
              <w:rPr>
                <w:rStyle w:val="num1diagrama1diagramachar"/>
                <w:b/>
                <w:szCs w:val="22"/>
              </w:rPr>
              <w:t xml:space="preserve">Kvietimui teikti vietos projektų paraiškas skiriama </w:t>
            </w:r>
            <w:r w:rsidRPr="00FA7119">
              <w:rPr>
                <w:b/>
                <w:szCs w:val="24"/>
              </w:rPr>
              <w:t>17 920,70 Eur</w:t>
            </w:r>
            <w:r w:rsidRPr="00C93082">
              <w:rPr>
                <w:rStyle w:val="num1diagrama1diagramachar"/>
                <w:b/>
                <w:szCs w:val="22"/>
              </w:rPr>
              <w:t>, iš jų:</w:t>
            </w:r>
          </w:p>
          <w:p w:rsidR="00FA7119" w:rsidRPr="00C93082" w:rsidRDefault="00FA7119" w:rsidP="00FA7119">
            <w:pPr>
              <w:pStyle w:val="Betarp1"/>
              <w:rPr>
                <w:rStyle w:val="num1diagrama1diagramachar"/>
                <w:b/>
                <w:szCs w:val="22"/>
              </w:rPr>
            </w:pPr>
          </w:p>
          <w:p w:rsidR="00FA7119" w:rsidRPr="00C93082" w:rsidRDefault="0045100B" w:rsidP="00FA7119">
            <w:pPr>
              <w:pStyle w:val="Betarp1"/>
              <w:jc w:val="both"/>
              <w:rPr>
                <w:rStyle w:val="num1diagrama1diagramachar"/>
                <w:b/>
                <w:szCs w:val="22"/>
              </w:rPr>
            </w:pPr>
            <w:r>
              <w:rPr>
                <w:rStyle w:val="num1diagrama1diagramachar"/>
                <w:b/>
                <w:szCs w:val="22"/>
              </w:rPr>
              <w:t xml:space="preserve">      </w:t>
            </w:r>
            <w:r w:rsidR="00FA7119" w:rsidRPr="00C93082">
              <w:rPr>
                <w:rStyle w:val="num1diagrama1diagramachar"/>
                <w:b/>
                <w:szCs w:val="22"/>
              </w:rPr>
              <w:t xml:space="preserve">I PRIORITETAS. </w:t>
            </w:r>
            <w:r w:rsidR="00FA7119" w:rsidRPr="00C93082">
              <w:t>VVG teritorijos verslų įvairinimas ir užimtumo gerinimas</w:t>
            </w:r>
            <w:r w:rsidR="00FA7119" w:rsidRPr="00C93082">
              <w:rPr>
                <w:rStyle w:val="num1diagrama1diagramachar"/>
                <w:szCs w:val="22"/>
              </w:rPr>
              <w:t xml:space="preserve"> </w:t>
            </w:r>
            <w:r w:rsidR="00FA7119" w:rsidRPr="00C93082">
              <w:rPr>
                <w:rStyle w:val="num1diagrama1diagramachar"/>
                <w:b/>
                <w:szCs w:val="22"/>
              </w:rPr>
              <w:t xml:space="preserve">– </w:t>
            </w:r>
            <w:r w:rsidR="00FA7119" w:rsidRPr="00FA7119">
              <w:rPr>
                <w:b/>
                <w:szCs w:val="24"/>
              </w:rPr>
              <w:t>17 920,70 Eur</w:t>
            </w:r>
          </w:p>
          <w:p w:rsidR="00FA7119" w:rsidRPr="00C93082" w:rsidRDefault="00FA7119" w:rsidP="00FA7119">
            <w:pPr>
              <w:pStyle w:val="Betarp1"/>
              <w:rPr>
                <w:rStyle w:val="num1diagrama1diagramachar"/>
                <w:b/>
                <w:i/>
                <w:sz w:val="10"/>
                <w:szCs w:val="10"/>
              </w:rPr>
            </w:pPr>
          </w:p>
          <w:p w:rsidR="00FA7119" w:rsidRPr="00C93082" w:rsidRDefault="00FA7119" w:rsidP="00FA7119">
            <w:pPr>
              <w:pStyle w:val="Betarp1"/>
              <w:jc w:val="both"/>
              <w:rPr>
                <w:b/>
              </w:rPr>
            </w:pPr>
            <w:r w:rsidRPr="00C93082">
              <w:rPr>
                <w:rStyle w:val="num1diagrama1diagramachar"/>
                <w:b/>
                <w:szCs w:val="22"/>
              </w:rPr>
              <w:t xml:space="preserve">       </w:t>
            </w:r>
            <w:r w:rsidRPr="00C93082">
              <w:t xml:space="preserve">Maksimali paramos suma vienam projektui </w:t>
            </w:r>
            <w:r w:rsidRPr="00C93082">
              <w:rPr>
                <w:b/>
              </w:rPr>
              <w:t xml:space="preserve">iki </w:t>
            </w:r>
            <w:r w:rsidRPr="00FA7119">
              <w:rPr>
                <w:b/>
                <w:szCs w:val="24"/>
              </w:rPr>
              <w:t>17 920,70 Eur</w:t>
            </w:r>
            <w:r>
              <w:rPr>
                <w:b/>
              </w:rPr>
              <w:t xml:space="preserve">. </w:t>
            </w:r>
            <w:r w:rsidRPr="00C93082">
              <w:rPr>
                <w:szCs w:val="24"/>
              </w:rPr>
              <w:t>Finansuojama iki 65 proc. visų tinkamų finansuoti vietos projektų išlaidų</w:t>
            </w:r>
          </w:p>
          <w:p w:rsidR="00FA7119" w:rsidRPr="00C93082" w:rsidRDefault="00FA7119" w:rsidP="00FA7119">
            <w:pPr>
              <w:pStyle w:val="Betarp1"/>
              <w:jc w:val="both"/>
              <w:rPr>
                <w:b/>
                <w:sz w:val="10"/>
                <w:szCs w:val="10"/>
              </w:rPr>
            </w:pPr>
          </w:p>
          <w:p w:rsidR="00A30017" w:rsidRPr="00113928" w:rsidRDefault="00FA7119" w:rsidP="00113928">
            <w:pPr>
              <w:pStyle w:val="Betarp1"/>
              <w:jc w:val="both"/>
              <w:rPr>
                <w:szCs w:val="24"/>
              </w:rPr>
            </w:pPr>
            <w:r w:rsidRPr="00C93082">
              <w:t xml:space="preserve">       </w:t>
            </w:r>
            <w:r w:rsidRPr="00C93082">
              <w:rPr>
                <w:b/>
                <w:szCs w:val="24"/>
              </w:rPr>
              <w:t>Taikomas išlaidų kompensavimo mokėjimo būdas.</w:t>
            </w:r>
          </w:p>
        </w:tc>
      </w:tr>
      <w:tr w:rsidR="003427E5" w:rsidRPr="000055E3" w:rsidTr="0045100B">
        <w:trPr>
          <w:trHeight w:val="1556"/>
        </w:trPr>
        <w:tc>
          <w:tcPr>
            <w:tcW w:w="3806" w:type="dxa"/>
            <w:vAlign w:val="center"/>
          </w:tcPr>
          <w:p w:rsidR="003427E5" w:rsidRPr="000055E3" w:rsidRDefault="003427E5" w:rsidP="00A30017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 w:rsidRPr="000055E3">
              <w:lastRenderedPageBreak/>
              <w:t>Tinkami vietos projektų paraiškų teikėjai</w:t>
            </w:r>
          </w:p>
        </w:tc>
        <w:tc>
          <w:tcPr>
            <w:tcW w:w="6034" w:type="dxa"/>
          </w:tcPr>
          <w:p w:rsidR="003427E5" w:rsidRPr="0045100B" w:rsidRDefault="0045100B" w:rsidP="0045100B">
            <w:pPr>
              <w:pStyle w:val="Betarp1"/>
              <w:jc w:val="both"/>
              <w:rPr>
                <w:b/>
              </w:rPr>
            </w:pPr>
            <w:r>
              <w:t xml:space="preserve">      </w:t>
            </w:r>
            <w:r w:rsidR="00FA7119" w:rsidRPr="0045100B">
              <w:t>Vietos projektų paraiškas gali teikti</w:t>
            </w:r>
            <w:r>
              <w:rPr>
                <w:b/>
              </w:rPr>
              <w:t xml:space="preserve"> </w:t>
            </w:r>
            <w:r w:rsidR="00FA7119" w:rsidRPr="00C93082">
              <w:t>Lietuvos Respublikos teisės aktų nustatyta tvarka Švenčionių rajono savivaldybės kaimiškoje teritorijoje įregistruoti ir (arba) veikiantys fiziniai (kaimo gyventojai, ūkininka</w:t>
            </w:r>
            <w:r>
              <w:t xml:space="preserve">i ne jaunesni kaip 18 metų) ir </w:t>
            </w:r>
            <w:r w:rsidR="00FA7119" w:rsidRPr="00C93082">
              <w:t>privatūs juridiniai (labai maža įmonė) asmenys.</w:t>
            </w:r>
          </w:p>
        </w:tc>
      </w:tr>
      <w:tr w:rsidR="003427E5" w:rsidRPr="000055E3" w:rsidTr="00FA7119">
        <w:trPr>
          <w:trHeight w:val="269"/>
        </w:trPr>
        <w:tc>
          <w:tcPr>
            <w:tcW w:w="3806" w:type="dxa"/>
            <w:vAlign w:val="center"/>
          </w:tcPr>
          <w:p w:rsidR="003427E5" w:rsidRPr="000055E3" w:rsidRDefault="003427E5" w:rsidP="0081455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Vietos projektų paraiškų pateikimo būdas ir tvarka</w:t>
            </w:r>
          </w:p>
        </w:tc>
        <w:tc>
          <w:tcPr>
            <w:tcW w:w="6034" w:type="dxa"/>
          </w:tcPr>
          <w:p w:rsidR="0045100B" w:rsidRPr="0045100B" w:rsidRDefault="0045100B" w:rsidP="0045100B">
            <w:pPr>
              <w:pStyle w:val="num1diagrama0"/>
              <w:tabs>
                <w:tab w:val="left" w:pos="54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100B">
              <w:rPr>
                <w:sz w:val="24"/>
                <w:szCs w:val="24"/>
              </w:rPr>
              <w:t>Paraiška pildoma lietuvių kalba, pridedami visi reikalingi priedai. Paraiška ir jos priedai turi būti surinkti kompiuteriu ir atspausdinti. Vietos projekto paraiška taip pat pateikiama elektronine forma.</w:t>
            </w:r>
            <w:r w:rsidRPr="0045100B">
              <w:rPr>
                <w:color w:val="FF0000"/>
                <w:sz w:val="24"/>
                <w:szCs w:val="24"/>
              </w:rPr>
              <w:t xml:space="preserve"> </w:t>
            </w:r>
            <w:r w:rsidRPr="0045100B">
              <w:rPr>
                <w:color w:val="000000"/>
                <w:sz w:val="24"/>
                <w:szCs w:val="24"/>
              </w:rPr>
              <w:t>Turi būti pateikiamas vienas originalus paramos paraiškos egzempliorius ir reikalaujamų dokumentų originalai arba kopijos (įsegta į segtuvą), patvirtintos pareiškėjo parašu arba notaro Lietuvos Respublikos notariato įstatymo  nustatyta tvarka.</w:t>
            </w:r>
          </w:p>
          <w:p w:rsidR="003427E5" w:rsidRPr="000055E3" w:rsidRDefault="0045100B" w:rsidP="0045100B">
            <w:pPr>
              <w:pStyle w:val="prastasistinklapis"/>
              <w:spacing w:before="0" w:beforeAutospacing="0" w:after="0" w:afterAutospacing="0"/>
              <w:ind w:right="158"/>
              <w:jc w:val="both"/>
              <w:rPr>
                <w:i/>
              </w:rPr>
            </w:pPr>
            <w:r>
              <w:t xml:space="preserve">      </w:t>
            </w:r>
            <w:r w:rsidRPr="0045100B">
              <w:t>Paraiškos teikiamos vietos projekto paraiškos teikėjo asmeniškai arba per įgaliotą asmenį. Kitais būdais (pvz.: atsiųstos registruotu laišku, įteiktos pašto kurjerio, faksu arba elektroniniu paštu ar kitais būdais) pateiktos vietos projektų paraiškos nepriimamos.</w:t>
            </w:r>
          </w:p>
        </w:tc>
      </w:tr>
      <w:tr w:rsidR="003427E5" w:rsidRPr="000055E3" w:rsidTr="00FA7119">
        <w:trPr>
          <w:trHeight w:val="269"/>
        </w:trPr>
        <w:tc>
          <w:tcPr>
            <w:tcW w:w="3806" w:type="dxa"/>
            <w:vAlign w:val="center"/>
          </w:tcPr>
          <w:p w:rsidR="003427E5" w:rsidRPr="000055E3" w:rsidRDefault="003427E5" w:rsidP="0081455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Vietos projektų paraiškų rinkimo laikotarpis</w:t>
            </w:r>
          </w:p>
        </w:tc>
        <w:tc>
          <w:tcPr>
            <w:tcW w:w="6034" w:type="dxa"/>
          </w:tcPr>
          <w:p w:rsidR="0045100B" w:rsidRPr="007D1EAB" w:rsidRDefault="0045100B" w:rsidP="0045100B">
            <w:pPr>
              <w:pStyle w:val="Betarp1"/>
              <w:jc w:val="both"/>
              <w:rPr>
                <w:b/>
              </w:rPr>
            </w:pPr>
            <w:r>
              <w:rPr>
                <w:b/>
              </w:rPr>
              <w:t>Nuo      2015-02-17</w:t>
            </w:r>
            <w:r w:rsidRPr="007D1EAB">
              <w:rPr>
                <w:b/>
              </w:rPr>
              <w:t xml:space="preserve">   8.00 val.</w:t>
            </w:r>
          </w:p>
          <w:p w:rsidR="0045100B" w:rsidRPr="007D1EAB" w:rsidRDefault="0045100B" w:rsidP="0045100B">
            <w:pPr>
              <w:pStyle w:val="Betarp1"/>
              <w:jc w:val="both"/>
              <w:rPr>
                <w:b/>
              </w:rPr>
            </w:pPr>
          </w:p>
          <w:p w:rsidR="003427E5" w:rsidRPr="000055E3" w:rsidRDefault="0045100B" w:rsidP="0045100B">
            <w:pPr>
              <w:pStyle w:val="prastasistinklapis"/>
              <w:spacing w:before="0" w:beforeAutospacing="0" w:after="0" w:afterAutospacing="0"/>
              <w:ind w:right="158"/>
              <w:rPr>
                <w:i/>
              </w:rPr>
            </w:pPr>
            <w:r w:rsidRPr="007D1EAB">
              <w:rPr>
                <w:b/>
              </w:rPr>
              <w:t>Iki        201</w:t>
            </w:r>
            <w:r>
              <w:rPr>
                <w:b/>
              </w:rPr>
              <w:t>5-03-03   16</w:t>
            </w:r>
            <w:r w:rsidRPr="007D1EAB">
              <w:rPr>
                <w:b/>
              </w:rPr>
              <w:t>.00 val.</w:t>
            </w:r>
          </w:p>
        </w:tc>
      </w:tr>
    </w:tbl>
    <w:p w:rsidR="003427E5" w:rsidRDefault="003427E5" w:rsidP="00C04014">
      <w:pPr>
        <w:pStyle w:val="prastasistinklapis"/>
        <w:spacing w:before="0" w:beforeAutospacing="0" w:after="0" w:afterAutospacing="0"/>
        <w:ind w:left="-120" w:right="-322"/>
        <w:jc w:val="both"/>
      </w:pPr>
    </w:p>
    <w:p w:rsidR="0045100B" w:rsidRPr="007D1EAB" w:rsidRDefault="0045100B" w:rsidP="0045100B">
      <w:pPr>
        <w:pStyle w:val="prastasistinklapis"/>
        <w:spacing w:before="0" w:beforeAutospacing="0" w:after="0" w:afterAutospacing="0"/>
        <w:ind w:left="-142" w:right="59"/>
        <w:jc w:val="both"/>
        <w:rPr>
          <w:u w:val="single"/>
        </w:rPr>
      </w:pPr>
      <w:r w:rsidRPr="007D1EAB">
        <w:t xml:space="preserve">           Kvietimo teikti vietos projektų paraiškas dokumentacija skelbiama interneto svetainėje </w:t>
      </w:r>
      <w:hyperlink r:id="rId12" w:history="1">
        <w:r w:rsidRPr="007D1EAB">
          <w:rPr>
            <w:rStyle w:val="Hipersaitas"/>
          </w:rPr>
          <w:t>www.partneryste.org</w:t>
        </w:r>
      </w:hyperlink>
      <w:r w:rsidRPr="007D1EAB">
        <w:t xml:space="preserve">. Taip pat juos nemokamai galima gauti </w:t>
      </w:r>
      <w:r w:rsidRPr="007D1EAB">
        <w:rPr>
          <w:u w:val="single"/>
        </w:rPr>
        <w:t xml:space="preserve"> Stoties g. 4, Švenčionys.         </w:t>
      </w:r>
    </w:p>
    <w:p w:rsidR="003427E5" w:rsidRPr="000055E3" w:rsidRDefault="003427E5" w:rsidP="00C04014">
      <w:pPr>
        <w:pStyle w:val="prastasistinklapis"/>
        <w:spacing w:before="0" w:beforeAutospacing="0" w:after="0" w:afterAutospacing="0"/>
        <w:ind w:left="-120" w:right="59"/>
        <w:jc w:val="both"/>
      </w:pPr>
    </w:p>
    <w:p w:rsidR="00955606" w:rsidRDefault="0045100B" w:rsidP="00C04014">
      <w:pPr>
        <w:ind w:left="-120"/>
      </w:pPr>
      <w:r w:rsidRPr="007D1EAB">
        <w:t xml:space="preserve">Vietos projektų paraiškos priimamos: </w:t>
      </w:r>
      <w:r w:rsidRPr="007D1EAB">
        <w:rPr>
          <w:u w:val="single"/>
        </w:rPr>
        <w:t xml:space="preserve"> Stoties g. 4, Švenčionys, kontaktinis tel. 8 387 </w:t>
      </w:r>
      <w:r>
        <w:rPr>
          <w:u w:val="single"/>
        </w:rPr>
        <w:t>51 084</w:t>
      </w:r>
    </w:p>
    <w:p w:rsidR="000407C5" w:rsidRDefault="000407C5" w:rsidP="00C04014">
      <w:pPr>
        <w:ind w:left="-120"/>
      </w:pPr>
    </w:p>
    <w:p w:rsidR="00955606" w:rsidRPr="00D05330" w:rsidRDefault="00955606">
      <w:pPr>
        <w:rPr>
          <w:color w:val="0000FF"/>
        </w:rPr>
      </w:pPr>
    </w:p>
    <w:p w:rsidR="00955606" w:rsidRDefault="00955606" w:rsidP="00955606">
      <w:pPr>
        <w:jc w:val="center"/>
      </w:pPr>
      <w:r>
        <w:t>___________________________</w:t>
      </w:r>
    </w:p>
    <w:sectPr w:rsidR="00955606" w:rsidSect="00113928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134" w:right="567" w:bottom="964" w:left="1701" w:header="709" w:footer="40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BC" w:rsidRDefault="00B040BC">
      <w:r>
        <w:separator/>
      </w:r>
    </w:p>
  </w:endnote>
  <w:endnote w:type="continuationSeparator" w:id="0">
    <w:p w:rsidR="00B040BC" w:rsidRDefault="00B0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06353A">
    <w:pPr>
      <w:pStyle w:val="Porat"/>
    </w:pPr>
    <w:r>
      <w:rPr>
        <w:lang w:val="lt-LT"/>
      </w:rPr>
      <w:t xml:space="preserve">                                                                                         2011 m. vasario </w:t>
    </w:r>
    <w:r w:rsidR="0001225C">
      <w:rPr>
        <w:lang w:val="lt-LT"/>
      </w:rPr>
      <w:t>3</w:t>
    </w:r>
    <w:r>
      <w:rPr>
        <w:lang w:val="lt-LT"/>
      </w:rPr>
      <w:t xml:space="preserve">  d. įsakymas Nr. BR1-</w:t>
    </w:r>
    <w:r w:rsidR="0001225C">
      <w:rPr>
        <w:lang w:val="lt-LT"/>
      </w:rPr>
      <w:t>213</w:t>
    </w:r>
  </w:p>
  <w:p w:rsidR="0006353A" w:rsidRDefault="0006353A" w:rsidP="00AA23DE">
    <w:pPr>
      <w:pStyle w:val="Por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06353A">
    <w:pPr>
      <w:pStyle w:val="Porat"/>
    </w:pPr>
    <w:r>
      <w:rPr>
        <w:lang w:val="lt-LT"/>
      </w:rPr>
      <w:t xml:space="preserve">                                                                                        2011 m. vasario </w:t>
    </w:r>
    <w:r w:rsidR="0001225C">
      <w:rPr>
        <w:lang w:val="lt-LT"/>
      </w:rPr>
      <w:t>3</w:t>
    </w:r>
    <w:r>
      <w:rPr>
        <w:lang w:val="lt-LT"/>
      </w:rPr>
      <w:t xml:space="preserve">  d. įsakymas Nr. BR1-</w:t>
    </w:r>
    <w:r w:rsidR="0001225C">
      <w:rPr>
        <w:lang w:val="lt-LT"/>
      </w:rPr>
      <w:t>213</w:t>
    </w:r>
  </w:p>
  <w:p w:rsidR="0006353A" w:rsidRPr="00DD2825" w:rsidRDefault="0006353A" w:rsidP="00DB10D0">
    <w:pPr>
      <w:pStyle w:val="Porat"/>
      <w:tabs>
        <w:tab w:val="left" w:pos="5625"/>
        <w:tab w:val="right" w:pos="9638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BC" w:rsidRDefault="00B040BC">
      <w:r>
        <w:separator/>
      </w:r>
    </w:p>
  </w:footnote>
  <w:footnote w:type="continuationSeparator" w:id="0">
    <w:p w:rsidR="00B040BC" w:rsidRDefault="00B0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C94770" w:rsidP="00CD0C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6353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6353A" w:rsidRDefault="0006353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C94770" w:rsidP="00CD0C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6353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39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6353A" w:rsidRDefault="0006353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99"/>
    <w:multiLevelType w:val="hybridMultilevel"/>
    <w:tmpl w:val="CDB8AD4C"/>
    <w:lvl w:ilvl="0" w:tplc="5CEE85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B3D"/>
    <w:multiLevelType w:val="multilevel"/>
    <w:tmpl w:val="8D1CF0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0"/>
        </w:tabs>
        <w:ind w:left="2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1800"/>
      </w:pPr>
      <w:rPr>
        <w:rFonts w:cs="Times New Roman" w:hint="default"/>
      </w:rPr>
    </w:lvl>
  </w:abstractNum>
  <w:abstractNum w:abstractNumId="2">
    <w:nsid w:val="17B64DEC"/>
    <w:multiLevelType w:val="hybridMultilevel"/>
    <w:tmpl w:val="13CA6E1A"/>
    <w:lvl w:ilvl="0" w:tplc="0722DDC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38BD61EB"/>
    <w:multiLevelType w:val="hybridMultilevel"/>
    <w:tmpl w:val="320A3B6E"/>
    <w:lvl w:ilvl="0" w:tplc="D618D36A">
      <w:start w:val="1"/>
      <w:numFmt w:val="upperRoman"/>
      <w:pStyle w:val="PROCEDRA"/>
      <w:lvlText w:val="%1."/>
      <w:lvlJc w:val="right"/>
      <w:pPr>
        <w:tabs>
          <w:tab w:val="num" w:pos="1259"/>
        </w:tabs>
        <w:ind w:left="1259" w:hanging="125"/>
      </w:pPr>
      <w:rPr>
        <w:rFonts w:ascii="Times New Roman Bold" w:hAnsi="Times New Roman Bold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96BC2"/>
    <w:multiLevelType w:val="multilevel"/>
    <w:tmpl w:val="04270025"/>
    <w:styleLink w:val="Styletp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28F1695"/>
    <w:multiLevelType w:val="multilevel"/>
    <w:tmpl w:val="0E5E7EDA"/>
    <w:lvl w:ilvl="0">
      <w:start w:val="1"/>
      <w:numFmt w:val="decimal"/>
      <w:pStyle w:val="Antra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4" w:hanging="86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4" w:hanging="86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94C85"/>
    <w:multiLevelType w:val="hybridMultilevel"/>
    <w:tmpl w:val="AE4874FA"/>
    <w:lvl w:ilvl="0" w:tplc="54FE22BC">
      <w:start w:val="1"/>
      <w:numFmt w:val="upperRoman"/>
      <w:lvlText w:val="%1."/>
      <w:lvlJc w:val="right"/>
      <w:pPr>
        <w:tabs>
          <w:tab w:val="num" w:pos="1259"/>
        </w:tabs>
        <w:ind w:left="1259" w:firstLine="2313"/>
      </w:pPr>
      <w:rPr>
        <w:rFonts w:ascii="Times New Roman Bold" w:hAnsi="Times New Roman Bold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E5"/>
    <w:rsid w:val="00004EB4"/>
    <w:rsid w:val="0000537D"/>
    <w:rsid w:val="0001225C"/>
    <w:rsid w:val="00032AD3"/>
    <w:rsid w:val="0003368A"/>
    <w:rsid w:val="000407C5"/>
    <w:rsid w:val="000472CD"/>
    <w:rsid w:val="00050F9C"/>
    <w:rsid w:val="00053802"/>
    <w:rsid w:val="0006353A"/>
    <w:rsid w:val="000B4E69"/>
    <w:rsid w:val="000E3FA7"/>
    <w:rsid w:val="000E59C5"/>
    <w:rsid w:val="000F491D"/>
    <w:rsid w:val="000F6498"/>
    <w:rsid w:val="00101466"/>
    <w:rsid w:val="00113928"/>
    <w:rsid w:val="00115D20"/>
    <w:rsid w:val="00137BA4"/>
    <w:rsid w:val="00140CB6"/>
    <w:rsid w:val="00160694"/>
    <w:rsid w:val="00167A5B"/>
    <w:rsid w:val="00167D4B"/>
    <w:rsid w:val="00173CE0"/>
    <w:rsid w:val="00182B7F"/>
    <w:rsid w:val="001B73BB"/>
    <w:rsid w:val="001C7831"/>
    <w:rsid w:val="001D6399"/>
    <w:rsid w:val="001E4A14"/>
    <w:rsid w:val="00232048"/>
    <w:rsid w:val="002431CE"/>
    <w:rsid w:val="00273241"/>
    <w:rsid w:val="00297919"/>
    <w:rsid w:val="002D1F9F"/>
    <w:rsid w:val="002E3640"/>
    <w:rsid w:val="002E6438"/>
    <w:rsid w:val="002E788C"/>
    <w:rsid w:val="0032557F"/>
    <w:rsid w:val="00331CC6"/>
    <w:rsid w:val="003427E5"/>
    <w:rsid w:val="0034709B"/>
    <w:rsid w:val="003554A3"/>
    <w:rsid w:val="00355CD6"/>
    <w:rsid w:val="00371AC6"/>
    <w:rsid w:val="003814FC"/>
    <w:rsid w:val="00386A59"/>
    <w:rsid w:val="003C0924"/>
    <w:rsid w:val="003C16AD"/>
    <w:rsid w:val="003C2D11"/>
    <w:rsid w:val="003C721A"/>
    <w:rsid w:val="003D159F"/>
    <w:rsid w:val="003E7B1E"/>
    <w:rsid w:val="004315CF"/>
    <w:rsid w:val="0045100B"/>
    <w:rsid w:val="00492CD4"/>
    <w:rsid w:val="004A6196"/>
    <w:rsid w:val="004B74F6"/>
    <w:rsid w:val="004E2F1B"/>
    <w:rsid w:val="004E74A7"/>
    <w:rsid w:val="00502135"/>
    <w:rsid w:val="00510F17"/>
    <w:rsid w:val="005231E6"/>
    <w:rsid w:val="00525378"/>
    <w:rsid w:val="00535D52"/>
    <w:rsid w:val="005724B8"/>
    <w:rsid w:val="00573099"/>
    <w:rsid w:val="0057449D"/>
    <w:rsid w:val="00585619"/>
    <w:rsid w:val="00587415"/>
    <w:rsid w:val="005E42B8"/>
    <w:rsid w:val="005F078C"/>
    <w:rsid w:val="005F0B36"/>
    <w:rsid w:val="005F1719"/>
    <w:rsid w:val="005F59C4"/>
    <w:rsid w:val="00611DE3"/>
    <w:rsid w:val="00615B8C"/>
    <w:rsid w:val="006179DF"/>
    <w:rsid w:val="00646890"/>
    <w:rsid w:val="0065211C"/>
    <w:rsid w:val="00657D00"/>
    <w:rsid w:val="006622B6"/>
    <w:rsid w:val="006C1E7E"/>
    <w:rsid w:val="006C2AB2"/>
    <w:rsid w:val="006D2264"/>
    <w:rsid w:val="00702546"/>
    <w:rsid w:val="00704A15"/>
    <w:rsid w:val="00720288"/>
    <w:rsid w:val="00740423"/>
    <w:rsid w:val="00764B68"/>
    <w:rsid w:val="007738E8"/>
    <w:rsid w:val="007820E7"/>
    <w:rsid w:val="00782925"/>
    <w:rsid w:val="00784347"/>
    <w:rsid w:val="007A25DD"/>
    <w:rsid w:val="007B1738"/>
    <w:rsid w:val="007B6D20"/>
    <w:rsid w:val="007C58B3"/>
    <w:rsid w:val="007D6DD0"/>
    <w:rsid w:val="007F2BFA"/>
    <w:rsid w:val="00800B5B"/>
    <w:rsid w:val="00814559"/>
    <w:rsid w:val="00825EC9"/>
    <w:rsid w:val="00854785"/>
    <w:rsid w:val="00872C12"/>
    <w:rsid w:val="00894192"/>
    <w:rsid w:val="008A1210"/>
    <w:rsid w:val="008B0949"/>
    <w:rsid w:val="008B1D01"/>
    <w:rsid w:val="008B7C0B"/>
    <w:rsid w:val="008E121C"/>
    <w:rsid w:val="008F1CAA"/>
    <w:rsid w:val="00901A73"/>
    <w:rsid w:val="009030B1"/>
    <w:rsid w:val="00931E8D"/>
    <w:rsid w:val="00955606"/>
    <w:rsid w:val="00972908"/>
    <w:rsid w:val="00995DB7"/>
    <w:rsid w:val="009B1E96"/>
    <w:rsid w:val="009B4738"/>
    <w:rsid w:val="009B67D3"/>
    <w:rsid w:val="009E4D57"/>
    <w:rsid w:val="00A021A8"/>
    <w:rsid w:val="00A11BE1"/>
    <w:rsid w:val="00A30017"/>
    <w:rsid w:val="00A30A8F"/>
    <w:rsid w:val="00A35DF6"/>
    <w:rsid w:val="00A44A81"/>
    <w:rsid w:val="00A77EED"/>
    <w:rsid w:val="00A8203B"/>
    <w:rsid w:val="00A95D53"/>
    <w:rsid w:val="00A97D82"/>
    <w:rsid w:val="00AA23DE"/>
    <w:rsid w:val="00AD1A3F"/>
    <w:rsid w:val="00AD5F98"/>
    <w:rsid w:val="00B00D1A"/>
    <w:rsid w:val="00B040BC"/>
    <w:rsid w:val="00B22F1B"/>
    <w:rsid w:val="00B25BDE"/>
    <w:rsid w:val="00B47010"/>
    <w:rsid w:val="00B60850"/>
    <w:rsid w:val="00B75985"/>
    <w:rsid w:val="00B82B1F"/>
    <w:rsid w:val="00B860AA"/>
    <w:rsid w:val="00BD19B3"/>
    <w:rsid w:val="00BF141D"/>
    <w:rsid w:val="00C04014"/>
    <w:rsid w:val="00C06C9C"/>
    <w:rsid w:val="00C31140"/>
    <w:rsid w:val="00C51215"/>
    <w:rsid w:val="00C57706"/>
    <w:rsid w:val="00C61490"/>
    <w:rsid w:val="00C63342"/>
    <w:rsid w:val="00C77F81"/>
    <w:rsid w:val="00C9148A"/>
    <w:rsid w:val="00C94770"/>
    <w:rsid w:val="00CA63AD"/>
    <w:rsid w:val="00CB1C7C"/>
    <w:rsid w:val="00CC40C5"/>
    <w:rsid w:val="00CC4817"/>
    <w:rsid w:val="00CD0CB5"/>
    <w:rsid w:val="00CD3DFE"/>
    <w:rsid w:val="00CE5304"/>
    <w:rsid w:val="00D05330"/>
    <w:rsid w:val="00D10CDC"/>
    <w:rsid w:val="00D14EAD"/>
    <w:rsid w:val="00D17AD0"/>
    <w:rsid w:val="00D32EA5"/>
    <w:rsid w:val="00D3643C"/>
    <w:rsid w:val="00D42A72"/>
    <w:rsid w:val="00D522E5"/>
    <w:rsid w:val="00D52BC7"/>
    <w:rsid w:val="00D54FEA"/>
    <w:rsid w:val="00D5557C"/>
    <w:rsid w:val="00D62908"/>
    <w:rsid w:val="00D87568"/>
    <w:rsid w:val="00D94195"/>
    <w:rsid w:val="00D94497"/>
    <w:rsid w:val="00DA3F32"/>
    <w:rsid w:val="00DB10D0"/>
    <w:rsid w:val="00DC5E7D"/>
    <w:rsid w:val="00DC6E0C"/>
    <w:rsid w:val="00DD2825"/>
    <w:rsid w:val="00DF380E"/>
    <w:rsid w:val="00DF3D50"/>
    <w:rsid w:val="00E019DE"/>
    <w:rsid w:val="00E10685"/>
    <w:rsid w:val="00E117DF"/>
    <w:rsid w:val="00E13B83"/>
    <w:rsid w:val="00E3761F"/>
    <w:rsid w:val="00E53BD1"/>
    <w:rsid w:val="00E72796"/>
    <w:rsid w:val="00E74629"/>
    <w:rsid w:val="00E75F25"/>
    <w:rsid w:val="00E81304"/>
    <w:rsid w:val="00EA28F6"/>
    <w:rsid w:val="00EA343E"/>
    <w:rsid w:val="00EB0ED1"/>
    <w:rsid w:val="00EB525F"/>
    <w:rsid w:val="00ED030C"/>
    <w:rsid w:val="00EE12A8"/>
    <w:rsid w:val="00EE71F8"/>
    <w:rsid w:val="00EF55EA"/>
    <w:rsid w:val="00F00A36"/>
    <w:rsid w:val="00F01828"/>
    <w:rsid w:val="00F07939"/>
    <w:rsid w:val="00F079B8"/>
    <w:rsid w:val="00F1362D"/>
    <w:rsid w:val="00F2547C"/>
    <w:rsid w:val="00F37C26"/>
    <w:rsid w:val="00F41855"/>
    <w:rsid w:val="00F53B1A"/>
    <w:rsid w:val="00F647CC"/>
    <w:rsid w:val="00F7798D"/>
    <w:rsid w:val="00FA7119"/>
    <w:rsid w:val="00FC2CED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27E5"/>
    <w:rPr>
      <w:sz w:val="24"/>
    </w:rPr>
  </w:style>
  <w:style w:type="paragraph" w:styleId="Antrat1">
    <w:name w:val="heading 1"/>
    <w:aliases w:val="Heading 1- TP"/>
    <w:basedOn w:val="prastasis"/>
    <w:next w:val="prastasis"/>
    <w:qFormat/>
    <w:rsid w:val="00EA343E"/>
    <w:pPr>
      <w:keepNext/>
      <w:pageBreakBefore/>
      <w:numPr>
        <w:numId w:val="5"/>
      </w:numPr>
      <w:spacing w:before="40" w:after="20" w:line="360" w:lineRule="auto"/>
      <w:jc w:val="both"/>
      <w:outlineLvl w:val="0"/>
    </w:pPr>
    <w:rPr>
      <w:kern w:val="28"/>
      <w:lang w:val="en-GB" w:eastAsia="en-US"/>
    </w:rPr>
  </w:style>
  <w:style w:type="paragraph" w:styleId="Antrat3">
    <w:name w:val="heading 3"/>
    <w:basedOn w:val="prastasis"/>
    <w:next w:val="prastasis"/>
    <w:qFormat/>
    <w:rsid w:val="00EA343E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Antrat3"/>
    <w:autoRedefine/>
    <w:rsid w:val="00D3643C"/>
    <w:pPr>
      <w:jc w:val="center"/>
    </w:pPr>
    <w:rPr>
      <w:rFonts w:ascii="Times New Roman" w:hAnsi="Times New Roman"/>
      <w:sz w:val="24"/>
      <w:lang w:eastAsia="en-US"/>
    </w:rPr>
  </w:style>
  <w:style w:type="paragraph" w:customStyle="1" w:styleId="headingTP">
    <w:name w:val="heading TP"/>
    <w:basedOn w:val="prastasis"/>
    <w:autoRedefine/>
    <w:rsid w:val="00D3643C"/>
    <w:pPr>
      <w:spacing w:line="360" w:lineRule="auto"/>
      <w:jc w:val="center"/>
    </w:pPr>
    <w:rPr>
      <w:b/>
      <w:bCs/>
      <w:lang w:eastAsia="en-US"/>
    </w:rPr>
  </w:style>
  <w:style w:type="paragraph" w:customStyle="1" w:styleId="mail">
    <w:name w:val="mail"/>
    <w:autoRedefine/>
    <w:rsid w:val="003C16AD"/>
    <w:rPr>
      <w:rFonts w:ascii="Verdana" w:hAnsi="Verdana" w:cs="Courier New"/>
      <w:smallCaps/>
      <w:noProof/>
      <w:lang w:val="es-ES_tradnl"/>
    </w:rPr>
  </w:style>
  <w:style w:type="paragraph" w:customStyle="1" w:styleId="Style2">
    <w:name w:val="Style2"/>
    <w:basedOn w:val="prastasis"/>
    <w:autoRedefine/>
    <w:rsid w:val="003C16AD"/>
    <w:rPr>
      <w:rFonts w:ascii="Verdana" w:hAnsi="Verdana"/>
      <w:szCs w:val="24"/>
    </w:rPr>
  </w:style>
  <w:style w:type="character" w:customStyle="1" w:styleId="Style12pt">
    <w:name w:val="Style 12 pt"/>
    <w:basedOn w:val="Numatytasispastraiposriftas"/>
    <w:rsid w:val="003C16AD"/>
    <w:rPr>
      <w:rFonts w:ascii="Verdana" w:hAnsi="Verdana"/>
      <w:color w:val="auto"/>
      <w:sz w:val="20"/>
    </w:rPr>
  </w:style>
  <w:style w:type="character" w:customStyle="1" w:styleId="podpis">
    <w:name w:val="podpis"/>
    <w:basedOn w:val="Numatytasispastraiposriftas"/>
    <w:rsid w:val="003C16AD"/>
    <w:rPr>
      <w:rFonts w:ascii="Verdana" w:hAnsi="Verdana" w:cs="Times New Roman"/>
      <w:b w:val="0"/>
      <w:bCs w:val="0"/>
      <w:i w:val="0"/>
      <w:iCs w:val="0"/>
      <w:strike w:val="0"/>
      <w:color w:val="auto"/>
      <w:sz w:val="20"/>
      <w:szCs w:val="24"/>
      <w:u w:val="none"/>
    </w:rPr>
  </w:style>
  <w:style w:type="paragraph" w:customStyle="1" w:styleId="procedra0">
    <w:name w:val="procedūra"/>
    <w:basedOn w:val="prastasis"/>
    <w:autoRedefine/>
    <w:rsid w:val="0003368A"/>
    <w:pPr>
      <w:jc w:val="center"/>
    </w:pPr>
    <w:rPr>
      <w:rFonts w:ascii="Times New Roman Bold" w:hAnsi="Times New Roman Bold"/>
      <w:b/>
      <w:bCs/>
      <w:caps/>
      <w:smallCaps/>
      <w:szCs w:val="24"/>
      <w:lang w:val="en-GB" w:eastAsia="en-US"/>
    </w:rPr>
  </w:style>
  <w:style w:type="paragraph" w:customStyle="1" w:styleId="PROCEDRA">
    <w:name w:val="PROCEDŪRA"/>
    <w:basedOn w:val="prastasis"/>
    <w:rsid w:val="0003368A"/>
    <w:pPr>
      <w:numPr>
        <w:numId w:val="3"/>
      </w:numPr>
      <w:spacing w:line="360" w:lineRule="auto"/>
      <w:jc w:val="center"/>
    </w:pPr>
    <w:rPr>
      <w:b/>
      <w:bCs/>
      <w:smallCaps/>
      <w:szCs w:val="24"/>
      <w:lang w:eastAsia="en-US"/>
    </w:rPr>
  </w:style>
  <w:style w:type="numbering" w:customStyle="1" w:styleId="Styletp">
    <w:name w:val="Styletp"/>
    <w:rsid w:val="00EA343E"/>
    <w:pPr>
      <w:numPr>
        <w:numId w:val="6"/>
      </w:numPr>
    </w:pPr>
  </w:style>
  <w:style w:type="paragraph" w:styleId="prastasistinklapis">
    <w:name w:val="Normal (Web)"/>
    <w:basedOn w:val="prastasis"/>
    <w:rsid w:val="003427E5"/>
    <w:pPr>
      <w:spacing w:before="100" w:beforeAutospacing="1" w:after="100" w:afterAutospacing="1"/>
    </w:pPr>
    <w:rPr>
      <w:szCs w:val="24"/>
    </w:rPr>
  </w:style>
  <w:style w:type="paragraph" w:styleId="Porat">
    <w:name w:val="footer"/>
    <w:basedOn w:val="prastasis"/>
    <w:link w:val="PoratDiagrama"/>
    <w:uiPriority w:val="99"/>
    <w:rsid w:val="003427E5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Antrats">
    <w:name w:val="header"/>
    <w:basedOn w:val="prastasis"/>
    <w:rsid w:val="003427E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E7B1E"/>
  </w:style>
  <w:style w:type="paragraph" w:styleId="Debesliotekstas">
    <w:name w:val="Balloon Text"/>
    <w:basedOn w:val="prastasis"/>
    <w:semiHidden/>
    <w:rsid w:val="00872C1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rsid w:val="00A300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en-GB" w:eastAsia="en-US"/>
    </w:rPr>
  </w:style>
  <w:style w:type="paragraph" w:customStyle="1" w:styleId="num1Diagrama">
    <w:name w:val="num1 Diagrama"/>
    <w:basedOn w:val="prastasis"/>
    <w:rsid w:val="001E4A14"/>
    <w:pPr>
      <w:autoSpaceDE w:val="0"/>
      <w:autoSpaceDN w:val="0"/>
      <w:ind w:left="-180" w:firstLine="720"/>
      <w:jc w:val="both"/>
    </w:pPr>
    <w:rPr>
      <w:sz w:val="20"/>
      <w:lang w:val="en-GB"/>
    </w:rPr>
  </w:style>
  <w:style w:type="character" w:customStyle="1" w:styleId="num1DiagramaDiagrama">
    <w:name w:val="num1 Diagrama Diagrama"/>
    <w:basedOn w:val="Numatytasispastraiposriftas"/>
    <w:rsid w:val="001E4A14"/>
    <w:rPr>
      <w:noProof w:val="0"/>
      <w:lang w:val="en-GB"/>
    </w:rPr>
  </w:style>
  <w:style w:type="character" w:styleId="Komentaronuoroda">
    <w:name w:val="annotation reference"/>
    <w:basedOn w:val="Numatytasispastraiposriftas"/>
    <w:semiHidden/>
    <w:rsid w:val="000E3FA7"/>
    <w:rPr>
      <w:sz w:val="16"/>
      <w:szCs w:val="16"/>
    </w:rPr>
  </w:style>
  <w:style w:type="paragraph" w:styleId="Komentarotekstas">
    <w:name w:val="annotation text"/>
    <w:basedOn w:val="prastasis"/>
    <w:semiHidden/>
    <w:rsid w:val="000E3FA7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0E3FA7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DB10D0"/>
    <w:rPr>
      <w:sz w:val="24"/>
      <w:szCs w:val="24"/>
      <w:lang w:val="en-GB" w:eastAsia="en-US"/>
    </w:rPr>
  </w:style>
  <w:style w:type="character" w:styleId="Hipersaitas">
    <w:name w:val="Hyperlink"/>
    <w:basedOn w:val="Numatytasispastraiposriftas"/>
    <w:semiHidden/>
    <w:rsid w:val="001D6399"/>
    <w:rPr>
      <w:rFonts w:cs="Times New Roman"/>
      <w:color w:val="0000FF"/>
      <w:u w:val="single"/>
    </w:rPr>
  </w:style>
  <w:style w:type="character" w:customStyle="1" w:styleId="num1diagrama1diagramachar">
    <w:name w:val="num1diagrama1diagramachar"/>
    <w:basedOn w:val="Numatytasispastraiposriftas"/>
    <w:rsid w:val="00FA7119"/>
    <w:rPr>
      <w:rFonts w:cs="Times New Roman"/>
    </w:rPr>
  </w:style>
  <w:style w:type="paragraph" w:customStyle="1" w:styleId="Betarp1">
    <w:name w:val="Be tarpų1"/>
    <w:rsid w:val="00FA7119"/>
    <w:rPr>
      <w:sz w:val="24"/>
    </w:rPr>
  </w:style>
  <w:style w:type="paragraph" w:customStyle="1" w:styleId="num1diagrama0">
    <w:name w:val="num1diagrama"/>
    <w:basedOn w:val="prastasis"/>
    <w:rsid w:val="0045100B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tneryst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ncioniuvvg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 redakcija nuo 2007 m</vt:lpstr>
      <vt:lpstr>Aktuali redakcija nuo 2007 m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 redakcija nuo 2007 m</dc:title>
  <dc:subject/>
  <dc:creator>beataz</dc:creator>
  <cp:keywords/>
  <cp:lastModifiedBy>Vartotojas</cp:lastModifiedBy>
  <cp:revision>6</cp:revision>
  <cp:lastPrinted>2010-10-24T13:32:00Z</cp:lastPrinted>
  <dcterms:created xsi:type="dcterms:W3CDTF">2011-02-03T15:26:00Z</dcterms:created>
  <dcterms:modified xsi:type="dcterms:W3CDTF">2015-02-12T07:52:00Z</dcterms:modified>
</cp:coreProperties>
</file>